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2DF8C" w14:textId="77777777" w:rsidR="00524FA1" w:rsidRDefault="00524FA1" w:rsidP="00524FA1">
      <w:pPr>
        <w:pStyle w:val="Standard"/>
        <w:spacing w:line="276" w:lineRule="auto"/>
        <w:contextualSpacing/>
        <w:rPr>
          <w:rFonts w:ascii="Arial" w:hAnsi="Arial" w:cs="Arial"/>
          <w:i/>
          <w:iCs/>
          <w:sz w:val="18"/>
          <w:szCs w:val="18"/>
        </w:rPr>
      </w:pPr>
    </w:p>
    <w:p w14:paraId="0F8DC879" w14:textId="5D803089" w:rsidR="00F5500B" w:rsidRDefault="00F5500B" w:rsidP="00524FA1">
      <w:pPr>
        <w:pStyle w:val="Standard"/>
        <w:spacing w:line="276" w:lineRule="auto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  <w:r w:rsidRPr="00263636">
        <w:rPr>
          <w:rFonts w:ascii="Arial" w:hAnsi="Arial" w:cs="Arial"/>
          <w:i/>
          <w:iCs/>
          <w:sz w:val="18"/>
          <w:szCs w:val="18"/>
        </w:rPr>
        <w:t>Załącznik nr 2a do SWZ</w:t>
      </w:r>
    </w:p>
    <w:p w14:paraId="4FA83C05" w14:textId="77777777" w:rsidR="00524FA1" w:rsidRPr="00263636" w:rsidRDefault="00524FA1" w:rsidP="00524FA1">
      <w:pPr>
        <w:pStyle w:val="Standard"/>
        <w:spacing w:line="276" w:lineRule="auto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</w:p>
    <w:p w14:paraId="7A23ADB0" w14:textId="123B4599" w:rsidR="00524FA1" w:rsidRPr="004C185C" w:rsidRDefault="00F5500B" w:rsidP="00AF1C59">
      <w:pPr>
        <w:pStyle w:val="Standard"/>
        <w:spacing w:line="276" w:lineRule="auto"/>
        <w:contextualSpacing/>
        <w:jc w:val="center"/>
        <w:rPr>
          <w:rFonts w:ascii="Arial" w:hAnsi="Arial" w:cs="Arial"/>
          <w:b/>
          <w:bCs/>
        </w:rPr>
      </w:pPr>
      <w:r w:rsidRPr="004C185C">
        <w:rPr>
          <w:rFonts w:ascii="Arial" w:hAnsi="Arial" w:cs="Arial"/>
          <w:b/>
          <w:bCs/>
        </w:rPr>
        <w:t>OPIS PRZEDMIOTU ZAMÓWIENIA</w:t>
      </w:r>
    </w:p>
    <w:p w14:paraId="0AB9A8CF" w14:textId="527CD491" w:rsidR="00F5500B" w:rsidRDefault="00F5500B" w:rsidP="006463CD">
      <w:pPr>
        <w:pStyle w:val="Standard"/>
        <w:spacing w:line="276" w:lineRule="auto"/>
        <w:contextualSpacing/>
        <w:jc w:val="both"/>
        <w:rPr>
          <w:rFonts w:ascii="Arial" w:hAnsi="Arial" w:cs="Arial"/>
          <w:i/>
          <w:iCs/>
          <w:u w:val="single"/>
        </w:rPr>
      </w:pPr>
      <w:r w:rsidRPr="004C185C">
        <w:rPr>
          <w:rFonts w:ascii="Arial" w:hAnsi="Arial" w:cs="Arial"/>
        </w:rPr>
        <w:t>w postępowaniu o udzielenie zamówienia publicznego, prowadzonym w trybie podstawowym bez negocjacji pn.</w:t>
      </w:r>
      <w:r w:rsidR="00524FA1">
        <w:rPr>
          <w:rFonts w:ascii="Arial" w:hAnsi="Arial" w:cs="Arial"/>
        </w:rPr>
        <w:t xml:space="preserve"> </w:t>
      </w:r>
      <w:r w:rsidR="006463CD" w:rsidRPr="006463CD">
        <w:rPr>
          <w:rFonts w:ascii="Arial" w:hAnsi="Arial" w:cs="Arial"/>
          <w:i/>
          <w:iCs/>
        </w:rPr>
        <w:t>Dostawa wyposażenia i materiałów higienicznych do Dziennego Domu Pomocy w Gminie Niedrzwica Duża</w:t>
      </w:r>
      <w:r w:rsidR="006463CD">
        <w:rPr>
          <w:rFonts w:ascii="Arial" w:hAnsi="Arial" w:cs="Arial"/>
          <w:i/>
          <w:iCs/>
        </w:rPr>
        <w:t xml:space="preserve"> - </w:t>
      </w:r>
      <w:r w:rsidR="006463CD" w:rsidRPr="006463CD">
        <w:rPr>
          <w:rFonts w:ascii="Arial" w:hAnsi="Arial" w:cs="Arial"/>
          <w:i/>
          <w:iCs/>
          <w:u w:val="single"/>
        </w:rPr>
        <w:t>część nr 1 zamówienia – Dostawa wyposażenia medycznego i rehabilitacyjnego do Dziennego Domu Pomocy w Gminie Niedrzwica Duża</w:t>
      </w:r>
    </w:p>
    <w:p w14:paraId="198F8C41" w14:textId="77777777" w:rsidR="004F5DDD" w:rsidRDefault="004F5DDD" w:rsidP="006463CD">
      <w:pPr>
        <w:pStyle w:val="Standard"/>
        <w:spacing w:line="276" w:lineRule="auto"/>
        <w:contextualSpacing/>
        <w:jc w:val="both"/>
        <w:rPr>
          <w:rFonts w:ascii="Arial" w:hAnsi="Arial" w:cs="Arial"/>
          <w:i/>
          <w:iCs/>
          <w:u w:val="single"/>
        </w:rPr>
      </w:pPr>
    </w:p>
    <w:tbl>
      <w:tblPr>
        <w:tblW w:w="1537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9"/>
        <w:gridCol w:w="1216"/>
        <w:gridCol w:w="851"/>
        <w:gridCol w:w="1842"/>
        <w:gridCol w:w="9274"/>
        <w:gridCol w:w="1418"/>
      </w:tblGrid>
      <w:tr w:rsidR="004F5DDD" w:rsidRPr="0005388D" w14:paraId="26A6DB7E" w14:textId="77777777" w:rsidTr="00B04691">
        <w:tc>
          <w:tcPr>
            <w:tcW w:w="769" w:type="dxa"/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F1246F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0142">
              <w:rPr>
                <w:rFonts w:ascii="Arial" w:hAnsi="Arial" w:cs="Arial"/>
                <w:b/>
                <w:bCs/>
                <w:color w:val="000000"/>
              </w:rPr>
              <w:t>Lp.</w:t>
            </w:r>
          </w:p>
        </w:tc>
        <w:tc>
          <w:tcPr>
            <w:tcW w:w="121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0F86E0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0142">
              <w:rPr>
                <w:rFonts w:ascii="Arial" w:hAnsi="Arial" w:cs="Arial"/>
                <w:b/>
                <w:bCs/>
                <w:color w:val="000000"/>
              </w:rPr>
              <w:t>Jednostka miary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B5FCF8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0142">
              <w:rPr>
                <w:rFonts w:ascii="Arial" w:hAnsi="Arial" w:cs="Arial"/>
                <w:b/>
                <w:bCs/>
                <w:color w:val="000000"/>
              </w:rPr>
              <w:t>Ilość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B67569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0142">
              <w:rPr>
                <w:rFonts w:ascii="Arial" w:hAnsi="Arial" w:cs="Arial"/>
                <w:b/>
                <w:bCs/>
                <w:color w:val="000000"/>
              </w:rPr>
              <w:t>Nazwa wyposażenia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C30347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0142">
              <w:rPr>
                <w:rFonts w:ascii="Arial" w:hAnsi="Arial" w:cs="Arial"/>
                <w:b/>
                <w:bCs/>
                <w:color w:val="000000"/>
              </w:rPr>
              <w:t>Opis</w:t>
            </w:r>
          </w:p>
        </w:tc>
        <w:tc>
          <w:tcPr>
            <w:tcW w:w="141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61953B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0142">
              <w:rPr>
                <w:rFonts w:ascii="Arial" w:hAnsi="Arial" w:cs="Arial"/>
                <w:b/>
                <w:bCs/>
                <w:color w:val="000000"/>
              </w:rPr>
              <w:t>Montaż</w:t>
            </w:r>
          </w:p>
        </w:tc>
      </w:tr>
      <w:tr w:rsidR="004F5DDD" w:rsidRPr="00E00142" w14:paraId="27EAC93C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3F2931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1C3464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128FE9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279E3B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Wózek inwalidzki (standardowy)</w:t>
            </w:r>
          </w:p>
        </w:tc>
        <w:tc>
          <w:tcPr>
            <w:tcW w:w="9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EE2D4E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wózek inwalidzki standardowy.</w:t>
            </w:r>
          </w:p>
          <w:p w14:paraId="264CC428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wyrób medyczny dopuszczony do obrotu na terenie UE (oznakowanie CE),</w:t>
            </w:r>
          </w:p>
          <w:p w14:paraId="6A0DFC8F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zgodność z obowiązującymi normami (np. MDR lub równoważnymi),</w:t>
            </w:r>
          </w:p>
          <w:p w14:paraId="359EE579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fabrycznie nowy, wolny od wad,</w:t>
            </w:r>
          </w:p>
          <w:p w14:paraId="2BD61F89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minimalny okres gwarancji: 12 miesięcy,</w:t>
            </w:r>
          </w:p>
          <w:p w14:paraId="508496AC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09951E67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instrukcja obsługi w języku polskim,</w:t>
            </w:r>
          </w:p>
          <w:p w14:paraId="38BC07B2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karta gwarancyjna,</w:t>
            </w:r>
          </w:p>
          <w:p w14:paraId="20800CEF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 xml:space="preserve">- rama stalowa lub aluminiowa, </w:t>
            </w:r>
          </w:p>
          <w:p w14:paraId="6B7CFB6C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konstrukcja składana (np. krzyżakowa lub równoważna funkcjonalnie),</w:t>
            </w:r>
          </w:p>
          <w:p w14:paraId="34C64CD4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możliwość łatwego transportu i przechowywania,</w:t>
            </w:r>
          </w:p>
          <w:p w14:paraId="367E3EC0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konstrukcja stabilna, odporna na korozję,</w:t>
            </w:r>
          </w:p>
          <w:p w14:paraId="243A2E82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szerokość siedziska: min. 40 cm</w:t>
            </w:r>
          </w:p>
          <w:p w14:paraId="6716F423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głębokość siedziska: min 40 cm</w:t>
            </w:r>
          </w:p>
          <w:p w14:paraId="76A0C46B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wysokość oparcia: min. 40 cm</w:t>
            </w:r>
          </w:p>
          <w:p w14:paraId="109C37AF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maksymalne obciążenie użytkownika: min. 100 kg</w:t>
            </w:r>
          </w:p>
          <w:p w14:paraId="5410DCF6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masa własna wózka: maks. 17 kg</w:t>
            </w:r>
          </w:p>
          <w:p w14:paraId="25F99F89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koła tylne: pompowane (pneumatyczne) lub pełne, rozmiar min. 24”,</w:t>
            </w:r>
          </w:p>
          <w:p w14:paraId="746A2043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koła przednie: pełne, odporne na przebicia (min. 200 mm),</w:t>
            </w:r>
          </w:p>
          <w:p w14:paraId="26648DD9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możliwość demontażu kół tylnych (</w:t>
            </w:r>
            <w:proofErr w:type="spellStart"/>
            <w:r w:rsidRPr="00E00142">
              <w:rPr>
                <w:rFonts w:ascii="Arial" w:hAnsi="Arial" w:cs="Arial"/>
                <w:sz w:val="18"/>
                <w:szCs w:val="18"/>
              </w:rPr>
              <w:t>szybkozłączki</w:t>
            </w:r>
            <w:proofErr w:type="spellEnd"/>
            <w:r w:rsidRPr="00E00142">
              <w:rPr>
                <w:rFonts w:ascii="Arial" w:hAnsi="Arial" w:cs="Arial"/>
                <w:sz w:val="18"/>
                <w:szCs w:val="18"/>
              </w:rPr>
              <w:t xml:space="preserve"> lub rozwiązania równoważne)</w:t>
            </w:r>
          </w:p>
          <w:p w14:paraId="7AA279B2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podłokietniki odchylane lub zdejmowane,</w:t>
            </w:r>
          </w:p>
          <w:p w14:paraId="4623A6E3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podnóżki uchylne, zdejmowane, z regulacją długości,</w:t>
            </w:r>
          </w:p>
          <w:p w14:paraId="60C62ACE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hamulce postojowe dla użytkownika,</w:t>
            </w:r>
          </w:p>
          <w:p w14:paraId="2D650099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tapicerka odporna na zabrudzenia, łatwa w czyszczeniu,</w:t>
            </w:r>
          </w:p>
          <w:p w14:paraId="16D4A64E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lastRenderedPageBreak/>
              <w:t>- rączki do prowadzenia przez opiekuna,</w:t>
            </w:r>
          </w:p>
          <w:p w14:paraId="76FCC511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łatwe składanie i rozkładanie bez użycia narzędzi,</w:t>
            </w:r>
          </w:p>
          <w:p w14:paraId="5A2108FF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możliwość użytkowania samodzielnego i z asystą opiekuna,</w:t>
            </w:r>
          </w:p>
          <w:p w14:paraId="40630729" w14:textId="77777777" w:rsidR="004F5DDD" w:rsidRPr="00E00142" w:rsidRDefault="004F5DDD" w:rsidP="00B04691">
            <w:pPr>
              <w:pStyle w:val="Textbody"/>
              <w:spacing w:after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1698A5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4F5DDD" w:rsidRPr="00E00142" w14:paraId="2DC94E73" w14:textId="77777777" w:rsidTr="00B04691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36CDB9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7F249F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ACCFAF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A86A4D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Podnośnik pacjenta (mobilny)</w:t>
            </w:r>
          </w:p>
        </w:tc>
        <w:tc>
          <w:tcPr>
            <w:tcW w:w="9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030462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podnośnik jezdny (mobilny) na 4 kołach,</w:t>
            </w:r>
          </w:p>
          <w:p w14:paraId="40CBF978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wyrób medyczny oznakowany znakiem CE,</w:t>
            </w:r>
          </w:p>
          <w:p w14:paraId="6C2E5093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zgodny z normą PN-EN ISO 10535 lub równoważną (dla podnośników pacjentów),</w:t>
            </w:r>
          </w:p>
          <w:p w14:paraId="47D60B64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fabrycznie nowy, wolny od wad,</w:t>
            </w:r>
          </w:p>
          <w:p w14:paraId="797FDC0F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minimalny okres gwarancji: 12 miesięcy,</w:t>
            </w:r>
          </w:p>
          <w:p w14:paraId="392A1865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1EF6B8BB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instrukcja obsługi w języku polskim,</w:t>
            </w:r>
          </w:p>
          <w:p w14:paraId="7A198FD5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karta gwarancyjna.</w:t>
            </w:r>
          </w:p>
          <w:p w14:paraId="41AFDD88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co najmniej 2 koła z blokadą (hamulce lub rozwiązania równoważne zapewniające stabilność),</w:t>
            </w:r>
          </w:p>
          <w:p w14:paraId="12D28DB0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konstrukcja wykonana ze stali, aluminium lub materiałów równoważnych pod względem wytrzymałości i odporności na korozję,</w:t>
            </w:r>
          </w:p>
          <w:p w14:paraId="32926644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możliwość rozkładania / demontażu bez użycia narzędzi,</w:t>
            </w:r>
          </w:p>
          <w:p w14:paraId="356A0390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elektryczny mechanizm podnoszenia i opuszczania,</w:t>
            </w:r>
          </w:p>
          <w:p w14:paraId="3F178261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sterowanie za pomocą pilota przewodowego, panelu sterującego lub rozwiązania równoważnego funkcjonalnie,</w:t>
            </w:r>
          </w:p>
          <w:p w14:paraId="03F19FA1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funkcja awaryjnego opuszczania (mechaniczna lub elektryczna),</w:t>
            </w:r>
          </w:p>
          <w:p w14:paraId="6785958A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możliwość wielokrotnego wykonania cykli podnoszenia (np. co najmniej kilkanaście cykli na jednym ładowaniu lub równoważne rozwiązanie zapewniające ciągłość pracy),</w:t>
            </w:r>
          </w:p>
          <w:p w14:paraId="0AC6B5DD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maksymalne obciążenie: min. 150 kg (dopuszcza się urządzenia o wyższej nośności)</w:t>
            </w:r>
          </w:p>
          <w:p w14:paraId="043B93E4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zakres podnoszenia dostosowany do transferu pacjenta pomiędzy typowymi powierzchniami użytkowymi (np. łóżko, wózek, fotel),</w:t>
            </w:r>
          </w:p>
          <w:p w14:paraId="7CA53292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podstawa jezdna o szerokości umożliwiającej podjazd pod łóżko lub wózek,</w:t>
            </w:r>
          </w:p>
          <w:p w14:paraId="6891F356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dopuszcza się regulację szerokości podstawy (ręczną, nożną lub równoważną),</w:t>
            </w:r>
          </w:p>
          <w:p w14:paraId="42312473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wymiary urządzenia powinny umożliwiać użytkowanie w pomieszczeniach mieszkalnych lub opiekuńczych,</w:t>
            </w:r>
          </w:p>
          <w:p w14:paraId="7250336E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wysięgnik z wieszakiem (min. 2- lub 4-punktowym lub równoważnym),</w:t>
            </w:r>
          </w:p>
          <w:p w14:paraId="09D1F322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ergonomiczne uchwyty do prowadzenia,</w:t>
            </w:r>
          </w:p>
          <w:p w14:paraId="56690FAE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możliwość transferu pacjenta: z łóżka na wózek, z wózka na fotel/toaletę,</w:t>
            </w:r>
          </w:p>
          <w:p w14:paraId="178B661F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stabilność podczas podnoszenia i przemieszczania,</w:t>
            </w:r>
          </w:p>
          <w:p w14:paraId="59D979EB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płynna praca mechanizmu podnoszenia,</w:t>
            </w:r>
          </w:p>
          <w:p w14:paraId="0727113A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zabezpieczenie przed przeciążeniem lub rozwiązanie równoważne,</w:t>
            </w:r>
          </w:p>
          <w:p w14:paraId="00CCA448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przycisk bezpieczeństwa (STOP) lub równoważny mechanizm zatrzymania,</w:t>
            </w:r>
          </w:p>
          <w:p w14:paraId="45C71933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systemy ostrzegawcze lub zabezpieczające zapewniające bezpieczne użytkowanie,</w:t>
            </w:r>
          </w:p>
          <w:p w14:paraId="021E9877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podwieszka (</w:t>
            </w:r>
            <w:proofErr w:type="spellStart"/>
            <w:r w:rsidRPr="00E00142">
              <w:rPr>
                <w:rFonts w:ascii="Arial" w:hAnsi="Arial" w:cs="Arial"/>
                <w:sz w:val="18"/>
                <w:szCs w:val="18"/>
              </w:rPr>
              <w:t>sling</w:t>
            </w:r>
            <w:proofErr w:type="spellEnd"/>
            <w:r w:rsidRPr="00E00142">
              <w:rPr>
                <w:rFonts w:ascii="Arial" w:hAnsi="Arial" w:cs="Arial"/>
                <w:sz w:val="18"/>
                <w:szCs w:val="18"/>
              </w:rPr>
              <w:t>) w zestawie (rozmiar uniwersalny lub równoważny),</w:t>
            </w:r>
          </w:p>
          <w:p w14:paraId="6ACBD17D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lastRenderedPageBreak/>
              <w:t>- akumulator wraz z ładowarką,</w:t>
            </w:r>
          </w:p>
          <w:p w14:paraId="28309476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pilot sterujący lub równoważny element sterowania,</w:t>
            </w:r>
          </w:p>
          <w:p w14:paraId="6ABC3A92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 xml:space="preserve">- komplet elementów montażowych niezbędnych do użytkowania urządzenia.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1FECB9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4F5DDD" w:rsidRPr="00E00142" w14:paraId="383EFE0E" w14:textId="77777777" w:rsidTr="00B04691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D35211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002A2C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5EA537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4F08B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Balkonik z kółkami</w:t>
            </w:r>
          </w:p>
        </w:tc>
        <w:tc>
          <w:tcPr>
            <w:tcW w:w="9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BCDBDD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balkonik z kółkami,</w:t>
            </w:r>
          </w:p>
          <w:p w14:paraId="7D4B7F2E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wyrób medyczny dopuszczony do obrotu na terenie UE (oznakowanie CE),</w:t>
            </w:r>
          </w:p>
          <w:p w14:paraId="545AF601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zgodność z obowiązującymi normami,</w:t>
            </w:r>
          </w:p>
          <w:p w14:paraId="409C6C97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fabrycznie nowy, wolny od wad,</w:t>
            </w:r>
          </w:p>
          <w:p w14:paraId="4BFEA9BB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minimalny okres gwarancji: 12 miesięcy,</w:t>
            </w:r>
          </w:p>
          <w:p w14:paraId="03C252B7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50EBD98C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instrukcja obsługi w języku polskim,</w:t>
            </w:r>
          </w:p>
          <w:p w14:paraId="0305AA01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karta gwarancyjna,</w:t>
            </w:r>
          </w:p>
          <w:p w14:paraId="0B57892F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rama aluminiowa lub z materiału równoważnego pod względem wytrzymałości i odporności na korozję,</w:t>
            </w:r>
          </w:p>
          <w:p w14:paraId="383698FC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konstrukcja składana umożliwiająca łatwe przechowywanie i transport,</w:t>
            </w:r>
          </w:p>
          <w:p w14:paraId="2197BBE7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waga urządzenia dostosowana do możliwości użytkownika (nie większa niż 4 kg lub równoważna)</w:t>
            </w:r>
          </w:p>
          <w:p w14:paraId="55105898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co najmniej 2 koła przednie,</w:t>
            </w:r>
          </w:p>
          <w:p w14:paraId="6F23AA97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średnica kół zapewniająca stabilność i łatwość przemieszczania (w zakresie 75–130 mm lub równoważna),</w:t>
            </w:r>
          </w:p>
          <w:p w14:paraId="465447DC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tylne podpórki zakończone stopkami antypoślizgowymi lub dodatkowymi kółkami (rozwiązania mieszane dopuszczalne),</w:t>
            </w:r>
          </w:p>
          <w:p w14:paraId="2A559711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regulacja wysokości uchwytów umożliwiająca dostosowanie do wzrostu użytkownika w zakresie ok. 75–90 cm lub równoważna,</w:t>
            </w:r>
          </w:p>
          <w:p w14:paraId="30914057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szerokość całkowita umożliwiająca użytkowanie w pomieszczeniach mieszkalnych ( ok. 60–65 cm lub równoważna),</w:t>
            </w:r>
          </w:p>
          <w:p w14:paraId="4F5E294A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głębokość zapewniająca stabilność i komfort użytkowania (ok. 50–65 cm lub równoważna)</w:t>
            </w:r>
          </w:p>
          <w:p w14:paraId="6A62D3FF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maksymalne obciążenie użytkownika: min. 100 kg</w:t>
            </w:r>
          </w:p>
          <w:p w14:paraId="6C6BCEDA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ergonomiczne uchwyty (antypoślizgowe lub równoważne),</w:t>
            </w:r>
          </w:p>
          <w:p w14:paraId="7EEB6CA4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mechanizm składania (np. przyciskowy, kulkowy lub równoważny),</w:t>
            </w:r>
          </w:p>
          <w:p w14:paraId="28B3BBB4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stabilne podparcie (np. stopki antypoślizgowe lub rozwiązania równoważne),</w:t>
            </w:r>
          </w:p>
          <w:p w14:paraId="1234A011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elementy zabezpieczające przed samoczynnym złożeniem,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ED5E15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Wyposażenie wolnostojące</w:t>
            </w:r>
          </w:p>
        </w:tc>
      </w:tr>
      <w:tr w:rsidR="004F5DDD" w:rsidRPr="00E00142" w14:paraId="380261F3" w14:textId="77777777" w:rsidTr="00B04691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A5424A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ECFD9A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C9EC49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7AA994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Koncentrator tlenu (przenośny)</w:t>
            </w:r>
          </w:p>
        </w:tc>
        <w:tc>
          <w:tcPr>
            <w:tcW w:w="9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C84C62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przenośny koncentrator tlenu,</w:t>
            </w:r>
          </w:p>
          <w:p w14:paraId="2B273F98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wyrób medyczny dopuszczony do obrotu na terenie UE (oznakowanie CE),</w:t>
            </w:r>
          </w:p>
          <w:p w14:paraId="1BBF7021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zgodność z obowiązującymi normami,</w:t>
            </w:r>
          </w:p>
          <w:p w14:paraId="1A3D6786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fabrycznie nowy, wolny od wad lub odnowione (</w:t>
            </w:r>
            <w:proofErr w:type="spellStart"/>
            <w:r w:rsidRPr="00E00142">
              <w:rPr>
                <w:rFonts w:ascii="Arial" w:hAnsi="Arial" w:cs="Arial"/>
                <w:sz w:val="18"/>
                <w:szCs w:val="18"/>
              </w:rPr>
              <w:t>refurbished</w:t>
            </w:r>
            <w:proofErr w:type="spellEnd"/>
            <w:r w:rsidRPr="00E00142">
              <w:rPr>
                <w:rFonts w:ascii="Arial" w:hAnsi="Arial" w:cs="Arial"/>
                <w:sz w:val="18"/>
                <w:szCs w:val="18"/>
              </w:rPr>
              <w:t>) z gwarancją,</w:t>
            </w:r>
          </w:p>
          <w:p w14:paraId="40B948BC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minimalny okres gwarancji: 24 miesiące – dla urządzeń nowych, 6 miesięcy – dla urządzeń odnowionych,</w:t>
            </w:r>
          </w:p>
          <w:p w14:paraId="1F2831F6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dostępność serwisu na terenie Polski (autoryzowany lub równoważny)</w:t>
            </w:r>
          </w:p>
          <w:p w14:paraId="64115FCA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lastRenderedPageBreak/>
              <w:t>- dostawa do siedziby zamawiającego,</w:t>
            </w:r>
          </w:p>
          <w:p w14:paraId="0994B5C8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instrukcja obsługi w języku polskim,</w:t>
            </w:r>
          </w:p>
          <w:p w14:paraId="290E74A0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karta gwarancyjna,</w:t>
            </w:r>
          </w:p>
          <w:p w14:paraId="2A9CF618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urządzenie przenośne (torba transportowa lub pasek),</w:t>
            </w:r>
          </w:p>
          <w:p w14:paraId="6299B3A2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masa: maks. 5 kg,</w:t>
            </w:r>
          </w:p>
          <w:p w14:paraId="3D8D418B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kompaktowe wymiary umożliwiające transport,</w:t>
            </w:r>
          </w:p>
          <w:p w14:paraId="6F18365A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możliwość pracy w ruchu (np. podczas spaceru),</w:t>
            </w:r>
          </w:p>
          <w:p w14:paraId="0EEA1821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tryb pulsacyjny (dozowanie tlenu przy wdechu),</w:t>
            </w:r>
          </w:p>
          <w:p w14:paraId="45AC6029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min. 3 poziomy ustawień przepływu,</w:t>
            </w:r>
          </w:p>
          <w:p w14:paraId="00F1EB40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automatyczne wykrywanie oddechu użytkownika,</w:t>
            </w:r>
          </w:p>
          <w:p w14:paraId="5BDAAE5F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stężenie tlenu: min. 87%</w:t>
            </w:r>
          </w:p>
          <w:p w14:paraId="6F604E39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wydajność dostarczania tlenu adekwatna do trybu pulsacyjnego,</w:t>
            </w:r>
          </w:p>
          <w:p w14:paraId="5CA5D299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zasilanie akumulatorowe (wbudowana bateria),</w:t>
            </w:r>
          </w:p>
          <w:p w14:paraId="608D1504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możliwość ładowania z sieci 230 V,</w:t>
            </w:r>
          </w:p>
          <w:p w14:paraId="1F6C27B3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możliwość ładowania w samochodzie (12 V) (opcjonalnie)</w:t>
            </w:r>
          </w:p>
          <w:p w14:paraId="133BD16D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czas pracy na baterii: min. 2 godziny</w:t>
            </w:r>
          </w:p>
          <w:p w14:paraId="78DDFC70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panel sterowania (przyciski lub wyświetlacz),</w:t>
            </w:r>
          </w:p>
          <w:p w14:paraId="772A5D94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sygnały alarmowe: brak oddechu, niski poziom baterii, awaria urządzenia,</w:t>
            </w:r>
          </w:p>
          <w:p w14:paraId="2F54F193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 xml:space="preserve">- poziom hałasu: maks. ≤50 </w:t>
            </w:r>
            <w:proofErr w:type="spellStart"/>
            <w:r w:rsidRPr="00E00142">
              <w:rPr>
                <w:rFonts w:ascii="Arial" w:hAnsi="Arial" w:cs="Arial"/>
                <w:sz w:val="18"/>
                <w:szCs w:val="18"/>
              </w:rPr>
              <w:t>dB</w:t>
            </w:r>
            <w:proofErr w:type="spellEnd"/>
            <w:r w:rsidRPr="00E00142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68C46326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bateria (min. 1 szt.),</w:t>
            </w:r>
          </w:p>
          <w:p w14:paraId="511CA556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zasilacz sieciowy,</w:t>
            </w:r>
          </w:p>
          <w:p w14:paraId="52FFA9BC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przewód samochodowy (jeśli dostępny),</w:t>
            </w:r>
          </w:p>
          <w:p w14:paraId="351F74CD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kaniula nosowa,</w:t>
            </w:r>
          </w:p>
          <w:p w14:paraId="12D0BEB5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torba transportowa lub pasek,</w:t>
            </w:r>
          </w:p>
          <w:p w14:paraId="6D30DE3F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gotowość do pracy bezpośrednio po dostawie.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CB1572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4F5DDD" w:rsidRPr="00E00142" w14:paraId="6B145A2E" w14:textId="77777777" w:rsidTr="00B04691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746F35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DB2C7A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46378F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CE50BA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Poduszka przeciwodleżynowa</w:t>
            </w:r>
          </w:p>
          <w:p w14:paraId="5FFBB900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F50F23" w14:textId="77777777" w:rsidR="004F5DDD" w:rsidRPr="00E00142" w:rsidRDefault="004F5DDD" w:rsidP="00B04691">
            <w:pPr>
              <w:pStyle w:val="Textbody"/>
              <w:spacing w:after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poduszka przeciwodleżynowa,</w:t>
            </w:r>
          </w:p>
          <w:p w14:paraId="12529F43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wyrób medyczny dopuszczony do obrotu na terenie UE (oznakowanie CE),</w:t>
            </w:r>
          </w:p>
          <w:p w14:paraId="06B49640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zgodność z obowiązującymi normami dotyczącymi wyrobów medycznych,</w:t>
            </w:r>
          </w:p>
          <w:p w14:paraId="58F4BE9C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fabrycznie nowy, wolny od wad,</w:t>
            </w:r>
          </w:p>
          <w:p w14:paraId="40414AB4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minimalny okres gwarancji: 12 miesięcy,</w:t>
            </w:r>
          </w:p>
          <w:p w14:paraId="23DBA1AD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3BD62BDC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instrukcja obsługi w języku polskim,</w:t>
            </w:r>
          </w:p>
          <w:p w14:paraId="225D71BD" w14:textId="77777777" w:rsidR="004F5DDD" w:rsidRPr="00E00142" w:rsidRDefault="004F5DDD" w:rsidP="00B04691">
            <w:pPr>
              <w:pStyle w:val="Textbody"/>
              <w:spacing w:after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karta gwarancyjna,</w:t>
            </w:r>
          </w:p>
          <w:p w14:paraId="75E118D4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poduszka przeznaczona do stosowania na siedzisku (np. wózek inwalidzki, krzesło) lub jako element odciążający inne części ciała,</w:t>
            </w:r>
          </w:p>
          <w:p w14:paraId="57826D8F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lastRenderedPageBreak/>
              <w:t>- konstrukcja zapewniająca redukcję nacisku na tkanki oraz poprawę komfortu użytkownika,</w:t>
            </w:r>
          </w:p>
          <w:p w14:paraId="41B1DA32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dopuszcza się różne technologie wykonania, np.: piankowe, pneumatyczne (powietrzne), żelowe, z wypełnieniem naturalnym lub syntetycznym,</w:t>
            </w:r>
          </w:p>
          <w:p w14:paraId="5F0C826F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wymiary dostosowane do standardowych siedzisk (ok. 40 × 40 cm lub równoważne),</w:t>
            </w:r>
          </w:p>
          <w:p w14:paraId="7DF4C718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wysokość zapewniająca komfort i właściwe odciążenie (ok. 4–10 cm lub równoważna),</w:t>
            </w:r>
          </w:p>
          <w:p w14:paraId="3286DDB4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materiał zapewniający odpowiednią sprężystość i rozkład nacisku,</w:t>
            </w:r>
          </w:p>
          <w:p w14:paraId="7AF41123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pokrowiec zdejmowany lub umożliwiający czyszczenie,</w:t>
            </w:r>
          </w:p>
          <w:p w14:paraId="00426840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materiał pokrowca odporny na zabrudzenia i łatwy do utrzymania w czystości,</w:t>
            </w:r>
          </w:p>
          <w:p w14:paraId="0EA60E88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właściwości przeciwodleżynowe (redukcja punktowego nacisku),</w:t>
            </w:r>
          </w:p>
          <w:p w14:paraId="1388427D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możliwość dopasowania do użytkownika (np. elastyczność, regulacja twardości lub równoważne rozwiązania),</w:t>
            </w:r>
          </w:p>
          <w:p w14:paraId="6D6B7767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maksymalne dopuszczalne obciążenie: min. 90–100 kg lub równoważne (dopuszcza się produkty o wyższej nośności),</w:t>
            </w:r>
          </w:p>
          <w:p w14:paraId="4ED08D14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konstrukcja zapewniająca stabilne ułożenie użytkownika,</w:t>
            </w:r>
          </w:p>
          <w:p w14:paraId="31C12271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brak elementów mogących powodować dyskomfort lub urazy,</w:t>
            </w:r>
          </w:p>
          <w:p w14:paraId="59530B49" w14:textId="77777777" w:rsidR="004F5DDD" w:rsidRPr="00E00142" w:rsidRDefault="004F5DDD" w:rsidP="00B04691">
            <w:pPr>
              <w:pStyle w:val="Textbody"/>
              <w:spacing w:after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ergonomiczny kształt (np. profilowany, z wycięciem lub równoważny).</w:t>
            </w:r>
          </w:p>
          <w:p w14:paraId="61E4DF3C" w14:textId="77777777" w:rsidR="004F5DDD" w:rsidRPr="00E00142" w:rsidRDefault="004F5DDD" w:rsidP="00B04691">
            <w:pPr>
              <w:pStyle w:val="Textbody"/>
              <w:spacing w:after="0"/>
              <w:contextualSpacing/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54FA55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4F5DDD" w:rsidRPr="00E00142" w14:paraId="2A297787" w14:textId="77777777" w:rsidTr="00B04691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D4859C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165E8E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363FDB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3C9F54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Deska wannowa/siedzisko</w:t>
            </w:r>
          </w:p>
        </w:tc>
        <w:tc>
          <w:tcPr>
            <w:tcW w:w="9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B95381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 xml:space="preserve"> - siedzisko wannowe lub deska wannowa montowana na wannie przeznaczone do stabilnego podparcia użytkownika podczas kąpieli lub prysznica,</w:t>
            </w:r>
          </w:p>
          <w:p w14:paraId="77C5243F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wyrób medyczny dopuszczony do obrotu na terenie UE (oznakowanie CE),</w:t>
            </w:r>
          </w:p>
          <w:p w14:paraId="610C816A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zgodność z obowiązującymi normami dotyczącymi wyrobów medycznych,</w:t>
            </w:r>
          </w:p>
          <w:p w14:paraId="37CDBB84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fabrycznie nowy, wolny od wad,</w:t>
            </w:r>
          </w:p>
          <w:p w14:paraId="6A9F8207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minimalny okres gwarancji: 12 miesięcy,</w:t>
            </w:r>
          </w:p>
          <w:p w14:paraId="044C46E6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7D489ECC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instrukcja obsługi w języku polskim,</w:t>
            </w:r>
          </w:p>
          <w:p w14:paraId="6600EF9E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karta gwarancyjna,</w:t>
            </w:r>
          </w:p>
          <w:p w14:paraId="4CF575D0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konstrukcja umożliwiająca bezpieczne wejście i wyjście z wanny,</w:t>
            </w:r>
          </w:p>
          <w:p w14:paraId="7FB5783D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konstrukcja wykonana z tworzywa sztucznego, aluminium lub materiałów równoważnych,</w:t>
            </w:r>
          </w:p>
          <w:p w14:paraId="6FD2A788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powierzchnia siedziska antypoślizgowa lub zapewniająca stabilne oparcie,</w:t>
            </w:r>
          </w:p>
          <w:p w14:paraId="7F71F17B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materiały odporne na działanie wody i łatwe do czyszczenia,</w:t>
            </w:r>
          </w:p>
          <w:p w14:paraId="5149FD3C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montaż na wannie bez konieczności trwałej ingerencji w jej konstrukcję,</w:t>
            </w:r>
          </w:p>
          <w:p w14:paraId="1E84C2E3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system mocowania zapewniający stabilność (np. regulowane uchwyty, zaciski lub rozwiązania równoważne),</w:t>
            </w:r>
          </w:p>
          <w:p w14:paraId="66353B01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elementy antypoślizgowe zapobiegające przesuwaniu się produktu,</w:t>
            </w:r>
          </w:p>
          <w:p w14:paraId="23258C94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wymiary dostosowane do standardowych wanien (długość ok. 60–75 cm lub równoważna),</w:t>
            </w:r>
          </w:p>
          <w:p w14:paraId="728EBCDD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możliwość regulacji szerokości lub dopasowania do różnych typów wanien,</w:t>
            </w:r>
          </w:p>
          <w:p w14:paraId="68F065D7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powierzchnia siedziska umożliwiająca komfortowe użytkowanie przez osobę dorosłą,</w:t>
            </w:r>
          </w:p>
          <w:p w14:paraId="697FD72C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minimalne dopuszczalne obciążenie: 100 kg (dopuszcza się wyższe parametry nośności)</w:t>
            </w:r>
          </w:p>
          <w:p w14:paraId="686EACAA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lastRenderedPageBreak/>
              <w:t>- możliwość bezpiecznego siedzenia nad wanną lub częściowego wejścia do wanny,</w:t>
            </w:r>
          </w:p>
          <w:p w14:paraId="78E2F55C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rozwiązania umożliwiające łatwy odpływ wody (np. otwory w siedzisku),</w:t>
            </w:r>
          </w:p>
          <w:p w14:paraId="35EBB113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ergonomiczny kształt zapewniający komfort użytkowania.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F4FA0C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4F5DDD" w:rsidRPr="00E00142" w14:paraId="543FC5BB" w14:textId="77777777" w:rsidTr="00B04691">
        <w:tc>
          <w:tcPr>
            <w:tcW w:w="7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DB2F5E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16" w:type="dxa"/>
            <w:tcBorders>
              <w:top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B4DAE6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3E9AC5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C46303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Defibrylator</w:t>
            </w:r>
          </w:p>
        </w:tc>
        <w:tc>
          <w:tcPr>
            <w:tcW w:w="9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17560F" w14:textId="77777777" w:rsidR="004F5DDD" w:rsidRPr="00E00142" w:rsidRDefault="004F5DDD" w:rsidP="00B04691">
            <w:pPr>
              <w:pStyle w:val="Textbody"/>
              <w:spacing w:after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automatyczny lub półautomatyczny defibrylator zewnętrzny AED przeznaczony do udzielania pierwszej pomocy w przypadku nagłego zatrzymania krążenia</w:t>
            </w:r>
          </w:p>
          <w:p w14:paraId="3E4D73D6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wyrób medyczny dopuszczony do obrotu na terenie UE (oznakowanie CE),</w:t>
            </w:r>
          </w:p>
          <w:p w14:paraId="3C61B248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zgodność z obowiązującymi normami dotyczącymi wyrobów medycznych,</w:t>
            </w:r>
          </w:p>
          <w:p w14:paraId="0B015052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fabrycznie nowy, wolny od wad,</w:t>
            </w:r>
          </w:p>
          <w:p w14:paraId="4C731D4D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minimalny okres gwarancji: 24 miesiące,</w:t>
            </w:r>
          </w:p>
          <w:p w14:paraId="7737DFB2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358DAFDE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instrukcja obsługi w języku polskim,</w:t>
            </w:r>
          </w:p>
          <w:p w14:paraId="17A0A966" w14:textId="77777777" w:rsidR="004F5DDD" w:rsidRPr="00E00142" w:rsidRDefault="004F5DDD" w:rsidP="00B04691">
            <w:pPr>
              <w:pStyle w:val="Textbody"/>
              <w:spacing w:after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karta gwarancyjna,</w:t>
            </w:r>
          </w:p>
          <w:p w14:paraId="098F680E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urządzenie przeznaczone do użycia przez osoby przeszkolone i nieprzeszkolone,</w:t>
            </w:r>
          </w:p>
          <w:p w14:paraId="5D9784D3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instrukcje głosowe prowadzące użytkownika krok po kroku,</w:t>
            </w:r>
          </w:p>
          <w:p w14:paraId="18CF8525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komunikaty wizualne (np. diody lub ekran) lub równoważne,</w:t>
            </w:r>
          </w:p>
          <w:p w14:paraId="6C33A4E5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jasne i czytelne sygnały obsługi urządzenia,</w:t>
            </w:r>
          </w:p>
          <w:p w14:paraId="1449D7D6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automatyczna analiza rytmu serca pacjenta,</w:t>
            </w:r>
          </w:p>
          <w:p w14:paraId="6FE9DCEB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dostosowanie decyzji o defibrylacji do stanu pacjenta,</w:t>
            </w:r>
          </w:p>
          <w:p w14:paraId="79CD1BB4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energia wyładowania dostosowana do osób dorosłych i dzieci (automatycznie lub z trybem pediatrycznym lub elektrodami uniwersalnymi),</w:t>
            </w:r>
          </w:p>
          <w:p w14:paraId="4CACBDCE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automatyczne testy sprawności urządzenia (</w:t>
            </w:r>
            <w:proofErr w:type="spellStart"/>
            <w:r w:rsidRPr="00E00142">
              <w:rPr>
                <w:rFonts w:ascii="Arial" w:hAnsi="Arial" w:cs="Arial"/>
                <w:sz w:val="18"/>
                <w:szCs w:val="18"/>
              </w:rPr>
              <w:t>self</w:t>
            </w:r>
            <w:proofErr w:type="spellEnd"/>
            <w:r w:rsidRPr="00E00142">
              <w:rPr>
                <w:rFonts w:ascii="Arial" w:hAnsi="Arial" w:cs="Arial"/>
                <w:sz w:val="18"/>
                <w:szCs w:val="18"/>
              </w:rPr>
              <w:t>-test),</w:t>
            </w:r>
          </w:p>
          <w:p w14:paraId="19FA5397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sygnalizacja gotowości do pracy,</w:t>
            </w:r>
          </w:p>
          <w:p w14:paraId="336593D5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alarmy dźwiękowe i/lub wizualne informujące o stanie urządzenia,</w:t>
            </w:r>
          </w:p>
          <w:p w14:paraId="5AE53343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zabezpieczenie przed przypadkowym wyładowaniem (szczególnie w wersji półautomatycznej),</w:t>
            </w:r>
          </w:p>
          <w:p w14:paraId="25EC65DC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możliwość stosowania elektrod dla dorosłych i dzieci (uniwersalne lub dedykowane),</w:t>
            </w:r>
          </w:p>
          <w:p w14:paraId="790C7E90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możliwość przełączenia trybu pediatrycznego lub automatyczne dostosowanie energii,</w:t>
            </w:r>
          </w:p>
          <w:p w14:paraId="6F604BC0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zasilanie bateryjne,</w:t>
            </w:r>
          </w:p>
          <w:p w14:paraId="5C470540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czas pracy w trybie czuwania min. kilka lat (lub równoważny okres żywotności baterii),</w:t>
            </w:r>
          </w:p>
          <w:p w14:paraId="2BA155DF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możliwość wykonania wielu defibrylacji na jednej baterii,</w:t>
            </w:r>
          </w:p>
          <w:p w14:paraId="67681BE2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odporność na kurz i wilgoć (minimum IP54 lub równoważne),</w:t>
            </w:r>
          </w:p>
          <w:p w14:paraId="20029F12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 xml:space="preserve">- możliwość stosowania w warunkach publicznych i </w:t>
            </w:r>
            <w:proofErr w:type="spellStart"/>
            <w:r w:rsidRPr="00E00142">
              <w:rPr>
                <w:rFonts w:ascii="Arial" w:hAnsi="Arial" w:cs="Arial"/>
                <w:sz w:val="18"/>
                <w:szCs w:val="18"/>
              </w:rPr>
              <w:t>półzewnętrznych</w:t>
            </w:r>
            <w:proofErr w:type="spellEnd"/>
            <w:r w:rsidRPr="00E00142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1F9D3395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bateria (fabrycznie nowa),</w:t>
            </w:r>
          </w:p>
          <w:p w14:paraId="6CD09DE3" w14:textId="77777777" w:rsidR="004F5DDD" w:rsidRPr="00E00142" w:rsidRDefault="004F5DDD" w:rsidP="00B04691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elektrody dla dorosłych (lub uniwersalne).</w:t>
            </w:r>
          </w:p>
          <w:p w14:paraId="1A46079A" w14:textId="77777777" w:rsidR="004F5DDD" w:rsidRPr="00E00142" w:rsidRDefault="004F5DDD" w:rsidP="00B04691">
            <w:pPr>
              <w:pStyle w:val="Textbody"/>
              <w:spacing w:after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9E556C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Wyposażenie wolnostojące</w:t>
            </w:r>
          </w:p>
        </w:tc>
      </w:tr>
      <w:tr w:rsidR="004F5DDD" w:rsidRPr="00E00142" w14:paraId="0D90550B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918B4C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99BFD2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60B3A0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D80740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Apteczka mobilna ratunkowa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9ADB20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apteczka mobilna ratunkowa (plecakowa lub torbowa), przeznaczona do udzielania pierwszej pomocy przedmedycznej w sytuacjach nagłych,</w:t>
            </w:r>
          </w:p>
          <w:p w14:paraId="65D508EE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wyrób medyczny dopuszczony do obrotu na terenie UE (oznakowanie CE),</w:t>
            </w:r>
          </w:p>
          <w:p w14:paraId="38C4760B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zgodność z obowiązującymi normami dotyczącymi wyrobów medycznych,</w:t>
            </w:r>
          </w:p>
          <w:p w14:paraId="63F146D5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fabrycznie nowy, wolny od wad,</w:t>
            </w:r>
          </w:p>
          <w:p w14:paraId="3A37341E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minimalny okres gwarancji: 24 miesiące,</w:t>
            </w:r>
          </w:p>
          <w:p w14:paraId="72D73B76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46111288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instrukcja obsługi w języku polskim,</w:t>
            </w:r>
          </w:p>
          <w:p w14:paraId="1800BE34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karta gwarancyjna,</w:t>
            </w:r>
          </w:p>
          <w:p w14:paraId="6F8D9FB6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apteczka w formie mobilnej (plecak, torba lub modułowy system transportowy),</w:t>
            </w:r>
          </w:p>
          <w:p w14:paraId="27350C9E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konstrukcja umożliwiająca szybki dostęp do zawartości,</w:t>
            </w:r>
          </w:p>
          <w:p w14:paraId="3931DAD9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materiał odporny na zabrudzenia i wilgoć,</w:t>
            </w:r>
          </w:p>
          <w:p w14:paraId="48A57B51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elementy odblaskowe zwiększające widoczność użytkownika (zalecane),</w:t>
            </w:r>
          </w:p>
          <w:p w14:paraId="0F78AD04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apteczka powinna zawierać co najmniej środki ochrony osobistej, rękawiczki jednorazowe (min. 2 pary), maseczka do RKO lub ochrona twarzy, opatrunki i materiały medyczne, opatrunki indywidualne (różne rozmiary), kompresy jałowe, bandaże elastyczne, gazy opatrunkowe, plastry z opatrunkiem i bez, chusta trójkątna, elementy ratunkowe tj. koc ratunkowy NRC, nożyczki ratownicze, instrukcja udzielania pierwszej pomocy, wyposażenie dodatkowe (dopuszczalne):</w:t>
            </w:r>
          </w:p>
          <w:p w14:paraId="23923D15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opatrunki specjalistyczne (np. hydrożelowe, uciskowe), opaska dziana, zestaw do dezynfekcji ran,</w:t>
            </w:r>
          </w:p>
          <w:p w14:paraId="3C3E252C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opatrunki na oparzenia, zestaw do płukania oka.</w:t>
            </w:r>
          </w:p>
          <w:p w14:paraId="3724DAF5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wyposażenie umożliwiające udzielenie pierwszej pomocy w urazach: krwotoki, rany, oparzenia,</w:t>
            </w:r>
          </w:p>
          <w:p w14:paraId="1BF0B7E8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logiczny i ergonomiczny układ wnętrza (moduły lub przegródki),</w:t>
            </w:r>
          </w:p>
          <w:p w14:paraId="7CCBFD05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szybki dostęp do najczęściej używanych elementów,</w:t>
            </w:r>
          </w:p>
          <w:p w14:paraId="38B69C6E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możliwość noszenia w ręku lub na plecach.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9C0C4A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Wyposażenie wolnostojące</w:t>
            </w:r>
          </w:p>
        </w:tc>
      </w:tr>
      <w:tr w:rsidR="004F5DDD" w:rsidRPr="00E00142" w14:paraId="51CFBE7F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B3885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5448FE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8109B9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5EC2B0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Wyposażona szafka na leki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5FDAE3" w14:textId="77777777" w:rsidR="004F5DDD" w:rsidRPr="00E00142" w:rsidRDefault="004F5DDD" w:rsidP="00B04691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wyposażona szafka na leki przeznaczona do bezpiecznego przechowywania leków, wyrobów medycznych oraz materiałów opatrunkowych w placówkach medycznych, opiekuńczych lub administracyjnych,</w:t>
            </w:r>
          </w:p>
          <w:p w14:paraId="635D2788" w14:textId="77777777" w:rsidR="004F5DDD" w:rsidRPr="00E00142" w:rsidRDefault="004F5DDD" w:rsidP="00B04691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wyrób medyczny dopuszczony do obrotu na terenie UE (oznakowanie CE),</w:t>
            </w:r>
          </w:p>
          <w:p w14:paraId="07C269EC" w14:textId="77777777" w:rsidR="004F5DDD" w:rsidRPr="00E00142" w:rsidRDefault="004F5DDD" w:rsidP="00B04691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zgodność z obowiązującymi normami dotyczącymi wyrobów medycznych,</w:t>
            </w:r>
          </w:p>
          <w:p w14:paraId="48662A39" w14:textId="77777777" w:rsidR="004F5DDD" w:rsidRPr="00E00142" w:rsidRDefault="004F5DDD" w:rsidP="00B04691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fabrycznie nowy, wolny od wad,</w:t>
            </w:r>
          </w:p>
          <w:p w14:paraId="126E9BFC" w14:textId="77777777" w:rsidR="004F5DDD" w:rsidRPr="00E00142" w:rsidRDefault="004F5DDD" w:rsidP="00B04691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minimalny okres gwarancji: 24 miesiące,</w:t>
            </w:r>
          </w:p>
          <w:p w14:paraId="3862CCC4" w14:textId="77777777" w:rsidR="004F5DDD" w:rsidRPr="00E00142" w:rsidRDefault="004F5DDD" w:rsidP="00B04691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41565A36" w14:textId="77777777" w:rsidR="004F5DDD" w:rsidRPr="00E00142" w:rsidRDefault="004F5DDD" w:rsidP="00B04691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instrukcja obsługi w języku polskim,</w:t>
            </w:r>
          </w:p>
          <w:p w14:paraId="28CFAFBF" w14:textId="77777777" w:rsidR="004F5DDD" w:rsidRPr="00E00142" w:rsidRDefault="004F5DDD" w:rsidP="00B04691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karta gwarancyjna,</w:t>
            </w:r>
          </w:p>
          <w:p w14:paraId="4295FBF7" w14:textId="77777777" w:rsidR="004F5DDD" w:rsidRPr="00E00142" w:rsidRDefault="004F5DDD" w:rsidP="00B04691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szafka wykonana z metalu (np. blacha stalowa malowana proszkowo) lub materiału równoważnego pod względem trwałości i odporności na uszkodzenia,</w:t>
            </w:r>
          </w:p>
          <w:p w14:paraId="0EF01ACF" w14:textId="77777777" w:rsidR="004F5DDD" w:rsidRPr="00E00142" w:rsidRDefault="004F5DDD" w:rsidP="00B04691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konstrukcja stabilna, przeznaczona do intensywnego użytkowania,</w:t>
            </w:r>
          </w:p>
          <w:p w14:paraId="2C413624" w14:textId="77777777" w:rsidR="004F5DDD" w:rsidRPr="00E00142" w:rsidRDefault="004F5DDD" w:rsidP="00B04691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lastRenderedPageBreak/>
              <w:t>- możliwość montażu na ścianie lub ustawienia wolnostojącego (w zależności od modelu),</w:t>
            </w:r>
          </w:p>
          <w:p w14:paraId="5CC6CCBB" w14:textId="77777777" w:rsidR="004F5DDD" w:rsidRPr="00E00142" w:rsidRDefault="004F5DDD" w:rsidP="00B04691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drzwi zamykane na zamek (kluczowy system zabezpieczenia dostępu),</w:t>
            </w:r>
          </w:p>
          <w:p w14:paraId="51A910FA" w14:textId="77777777" w:rsidR="004F5DDD" w:rsidRPr="00E00142" w:rsidRDefault="004F5DDD" w:rsidP="00B04691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dopuszcza się drzwi pełne lub przeszklone (szkło hartowane lub równoważne),</w:t>
            </w:r>
          </w:p>
          <w:p w14:paraId="5DFD2800" w14:textId="77777777" w:rsidR="004F5DDD" w:rsidRPr="00E00142" w:rsidRDefault="004F5DDD" w:rsidP="00B04691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mechanizm zamykania zapewniający ochronę przed dostępem osób nieupoważnionych,</w:t>
            </w:r>
          </w:p>
          <w:p w14:paraId="53F47864" w14:textId="77777777" w:rsidR="004F5DDD" w:rsidRPr="00E00142" w:rsidRDefault="004F5DDD" w:rsidP="00B04691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minimum 2–4 półki lub szuflady umożliwiające segregację leków i materiałów medycznych,</w:t>
            </w:r>
          </w:p>
          <w:p w14:paraId="64BB7FD9" w14:textId="77777777" w:rsidR="004F5DDD" w:rsidRPr="00E00142" w:rsidRDefault="004F5DDD" w:rsidP="00B04691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półki regulowane lub o stałej wysokości (dopuszcza się oba rozwiązania),</w:t>
            </w:r>
          </w:p>
          <w:p w14:paraId="08249AC7" w14:textId="77777777" w:rsidR="004F5DDD" w:rsidRPr="00E00142" w:rsidRDefault="004F5DDD" w:rsidP="00B04691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możliwość organizacji przestrzeni zgodnie z potrzebami użytkownika,</w:t>
            </w:r>
          </w:p>
          <w:p w14:paraId="7F5269D4" w14:textId="77777777" w:rsidR="004F5DDD" w:rsidRPr="00E00142" w:rsidRDefault="004F5DDD" w:rsidP="00B04691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do standardowego wyposażenia placówek (szerokość ok. 30–100 cm, wysokość ok. 60–180 cm – lub równoważne),</w:t>
            </w:r>
          </w:p>
          <w:p w14:paraId="17B2EA4C" w14:textId="77777777" w:rsidR="004F5DDD" w:rsidRPr="00E00142" w:rsidRDefault="004F5DDD" w:rsidP="00B04691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głębokość umożliwiająca bezpieczne przechowywanie leków i materiałów medycznych,</w:t>
            </w:r>
          </w:p>
          <w:p w14:paraId="45D317E3" w14:textId="77777777" w:rsidR="004F5DDD" w:rsidRPr="00E00142" w:rsidRDefault="004F5DDD" w:rsidP="00B04691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przeznaczenie: bezpieczne przechowywanie leków,</w:t>
            </w:r>
          </w:p>
          <w:p w14:paraId="4E4834BC" w14:textId="77777777" w:rsidR="004F5DDD" w:rsidRPr="00E00142" w:rsidRDefault="004F5DDD" w:rsidP="00B04691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możliwość segregacji zawartości,</w:t>
            </w:r>
          </w:p>
          <w:p w14:paraId="431BDEE6" w14:textId="77777777" w:rsidR="004F5DDD" w:rsidRPr="00E00142" w:rsidRDefault="004F5DDD" w:rsidP="00B04691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łatwe utrzymanie czystości powierzchni,</w:t>
            </w:r>
          </w:p>
          <w:p w14:paraId="1F42E5CA" w14:textId="77777777" w:rsidR="004F5DDD" w:rsidRPr="00E00142" w:rsidRDefault="004F5DDD" w:rsidP="00B04691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ergonomiczny dostęp do zawartości,</w:t>
            </w:r>
          </w:p>
          <w:p w14:paraId="64762DC1" w14:textId="77777777" w:rsidR="004F5DDD" w:rsidRPr="00E00142" w:rsidRDefault="004F5DDD" w:rsidP="00B04691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konstrukcja zabezpieczająca przed dostępem osób nieupoważnionych,</w:t>
            </w:r>
          </w:p>
          <w:p w14:paraId="24C627DF" w14:textId="77777777" w:rsidR="004F5DDD" w:rsidRPr="00E00142" w:rsidRDefault="004F5DDD" w:rsidP="00B04691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stabilność konstrukcji przy pełnym obciążeniu,</w:t>
            </w:r>
          </w:p>
          <w:p w14:paraId="60F458EC" w14:textId="77777777" w:rsidR="004F5DDD" w:rsidRPr="00E00142" w:rsidRDefault="004F5DDD" w:rsidP="00B04691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materiały odporne na działanie środków dezynfekcyjnych.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043772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4F5DDD" w:rsidRPr="00E00142" w14:paraId="16600894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CBDCD0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E2E6C4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BBA073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076545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Termometr bezdotykowy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C4EDE5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termometr bezdotykowy,</w:t>
            </w:r>
          </w:p>
          <w:p w14:paraId="4FE73E56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wyrób medyczny dopuszczony do obrotu na terenie UE (oznakowanie CE),</w:t>
            </w:r>
          </w:p>
          <w:p w14:paraId="754F4267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zgodność z obowiązującymi normami dotyczącymi wyrobów medycznych,</w:t>
            </w:r>
          </w:p>
          <w:p w14:paraId="7CB36F76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fabrycznie nowy, wolny od wad,</w:t>
            </w:r>
          </w:p>
          <w:p w14:paraId="0AC8006D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minimalny okres gwarancji: 12 miesięcy,</w:t>
            </w:r>
          </w:p>
          <w:p w14:paraId="35C50122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61C93D48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instrukcja obsługi w języku polskim,</w:t>
            </w:r>
          </w:p>
          <w:p w14:paraId="0040DB63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karta gwarancyjna,</w:t>
            </w:r>
          </w:p>
          <w:p w14:paraId="532D0B7A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 xml:space="preserve">- pomiar temperatury bez konieczności kontaktu ze skórą, </w:t>
            </w:r>
          </w:p>
          <w:p w14:paraId="021E2F1A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możliwość pomiaru temperatury ciała na czole lub skroni,</w:t>
            </w:r>
          </w:p>
          <w:p w14:paraId="5B01A9E6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zakres pomiaru temperatury ciała: co najmniej 34°C – 42°C lub szerszy,</w:t>
            </w:r>
          </w:p>
          <w:p w14:paraId="69DFB1E6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możliwość pomiaru temperatury obiektów i/lub otoczenia (funkcja dodatkowa dopuszczalna),</w:t>
            </w:r>
          </w:p>
          <w:p w14:paraId="45B8B120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dokładność pomiaru: nie gorsza niż ±0,2°C w zakresie temperatury ciała,</w:t>
            </w:r>
          </w:p>
          <w:p w14:paraId="596FFA08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rozdzielczość wskazań: 0,1°C,</w:t>
            </w:r>
          </w:p>
          <w:p w14:paraId="37D7E3D7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czas pomiaru: do kilku sekund,</w:t>
            </w:r>
          </w:p>
          <w:p w14:paraId="704C8E43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automatyczne uruchomienie pomiaru po wykryciu odpowiedniej odległości lub naciśnięciu przycisku,</w:t>
            </w:r>
          </w:p>
          <w:p w14:paraId="43FA9467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system sygnalizacji prawidłowej odległości pomiarowej (np. wskaźnik świetlny lub dźwiękowy),</w:t>
            </w:r>
          </w:p>
          <w:p w14:paraId="7F1C1B31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alarm gorączki (np. sygnał dźwiękowy lub wizualny przy podwyższonej temperaturze),</w:t>
            </w:r>
          </w:p>
          <w:p w14:paraId="744C1697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pamięć pomiarów (np. min. 10–30 ostatnich wyników),</w:t>
            </w:r>
          </w:p>
          <w:p w14:paraId="260B9F5C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lastRenderedPageBreak/>
              <w:t>- możliwość zmiany jednostek (°C / °F),</w:t>
            </w:r>
          </w:p>
          <w:p w14:paraId="26ED53AE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podświetlany wyświetlacz LCD,</w:t>
            </w:r>
          </w:p>
          <w:p w14:paraId="79B00A15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zasilanie bateryjne (np. AAA lub równoważne),</w:t>
            </w:r>
          </w:p>
          <w:p w14:paraId="717FB998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baterie w zestawie lub możliwość ich łatwej wymiany,</w:t>
            </w:r>
          </w:p>
          <w:p w14:paraId="4BFFE0B2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bezpieczna konstrukcja umożliwiająca dezynfekcję powierzchni,</w:t>
            </w:r>
          </w:p>
          <w:p w14:paraId="325BFCD5" w14:textId="77777777" w:rsidR="004F5DDD" w:rsidRPr="00E00142" w:rsidRDefault="004F5DDD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t>- lekka i poręczna konstrukcja.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FF4E00" w14:textId="77777777" w:rsidR="004F5DDD" w:rsidRPr="00E00142" w:rsidRDefault="004F5DDD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142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</w:tbl>
    <w:p w14:paraId="32631B22" w14:textId="77777777" w:rsidR="004F5DDD" w:rsidRPr="00E00142" w:rsidRDefault="004F5DDD" w:rsidP="006463CD">
      <w:pPr>
        <w:pStyle w:val="Standard"/>
        <w:spacing w:line="276" w:lineRule="auto"/>
        <w:contextualSpacing/>
        <w:jc w:val="both"/>
        <w:rPr>
          <w:rFonts w:ascii="Arial" w:hAnsi="Arial" w:cs="Arial"/>
          <w:i/>
          <w:iCs/>
          <w:sz w:val="18"/>
          <w:szCs w:val="18"/>
          <w:u w:val="single"/>
        </w:rPr>
      </w:pPr>
    </w:p>
    <w:sectPr w:rsidR="004F5DDD" w:rsidRPr="00E00142" w:rsidSect="00725469">
      <w:headerReference w:type="default" r:id="rId8"/>
      <w:footerReference w:type="default" r:id="rId9"/>
      <w:pgSz w:w="16838" w:h="11906" w:orient="landscape"/>
      <w:pgMar w:top="1134" w:right="1134" w:bottom="425" w:left="56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011A4" w14:textId="77777777" w:rsidR="00574A17" w:rsidRPr="007F2062" w:rsidRDefault="00574A17">
      <w:r w:rsidRPr="007F2062">
        <w:separator/>
      </w:r>
    </w:p>
  </w:endnote>
  <w:endnote w:type="continuationSeparator" w:id="0">
    <w:p w14:paraId="2D1E29B7" w14:textId="77777777" w:rsidR="00574A17" w:rsidRPr="007F2062" w:rsidRDefault="00574A17">
      <w:r w:rsidRPr="007F206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9402C" w14:textId="3B7EFF45" w:rsidR="00AF1C59" w:rsidRPr="006E3F64" w:rsidRDefault="00AF1C59" w:rsidP="00187091">
    <w:pPr>
      <w:tabs>
        <w:tab w:val="center" w:pos="4536"/>
        <w:tab w:val="right" w:pos="9072"/>
      </w:tabs>
      <w:jc w:val="center"/>
      <w:rPr>
        <w:rFonts w:ascii="Arial" w:eastAsiaTheme="minorHAnsi" w:hAnsi="Arial" w:cs="Arial"/>
        <w:i/>
        <w:iCs/>
        <w:color w:val="auto"/>
        <w:kern w:val="0"/>
        <w:sz w:val="18"/>
        <w:szCs w:val="18"/>
        <w:lang w:eastAsia="en-US" w:bidi="ar-SA"/>
      </w:rPr>
    </w:pPr>
    <w:bookmarkStart w:id="0" w:name="_Hlk162610615"/>
    <w:bookmarkStart w:id="1" w:name="_Hlk162610616"/>
    <w:r w:rsidRPr="006E3F64">
      <w:rPr>
        <w:rFonts w:ascii="Arial" w:eastAsiaTheme="minorHAnsi" w:hAnsi="Arial" w:cs="Arial"/>
        <w:i/>
        <w:iCs/>
        <w:color w:val="auto"/>
        <w:kern w:val="0"/>
        <w:sz w:val="18"/>
        <w:szCs w:val="18"/>
        <w:lang w:eastAsia="en-US" w:bidi="ar-SA"/>
      </w:rPr>
      <w:t>____________________________________________________________________</w:t>
    </w:r>
    <w:sdt>
      <w:sdtPr>
        <w:rPr>
          <w:rFonts w:ascii="Arial" w:eastAsiaTheme="minorHAnsi" w:hAnsi="Arial" w:cs="Arial"/>
          <w:i/>
          <w:iCs/>
          <w:color w:val="auto"/>
          <w:kern w:val="0"/>
          <w:sz w:val="18"/>
          <w:szCs w:val="18"/>
          <w:lang w:eastAsia="en-US" w:bidi="ar-SA"/>
        </w:rPr>
        <w:id w:val="205650101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eastAsiaTheme="minorHAnsi" w:hAnsi="Arial" w:cs="Arial"/>
              <w:i/>
              <w:iCs/>
              <w:color w:val="auto"/>
              <w:kern w:val="0"/>
              <w:sz w:val="18"/>
              <w:szCs w:val="18"/>
              <w:lang w:eastAsia="en-US" w:bidi="ar-SA"/>
            </w:rPr>
            <w:id w:val="418831658"/>
            <w:docPartObj>
              <w:docPartGallery w:val="Page Numbers (Top of Page)"/>
              <w:docPartUnique/>
            </w:docPartObj>
          </w:sdtPr>
          <w:sdtEndPr/>
          <w:sdtContent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t xml:space="preserve">Strona </w: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fldChar w:fldCharType="begin"/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instrText>PAGE</w:instrTex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fldChar w:fldCharType="separate"/>
            </w:r>
            <w:r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t>1</w: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fldChar w:fldCharType="end"/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t xml:space="preserve"> z </w: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fldChar w:fldCharType="begin"/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instrText>NUMPAGES</w:instrTex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fldChar w:fldCharType="separate"/>
            </w:r>
            <w:r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t>8</w: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fldChar w:fldCharType="end"/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t xml:space="preserve"> </w: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br/>
            </w:r>
            <w:r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t>Załącznik nr 2a do SWZ</w: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t xml:space="preserve"> - </w:t>
            </w:r>
            <w:r w:rsidR="006463CD" w:rsidRPr="00A12247">
              <w:rPr>
                <w:rFonts w:ascii="Arial" w:hAnsi="Arial" w:cs="Arial"/>
                <w:i/>
                <w:iCs/>
                <w:sz w:val="18"/>
                <w:szCs w:val="18"/>
              </w:rPr>
              <w:t>Dostawa wyposażenia i materiałów higienicznych do Dziennego Domu Pomocy w Gminie Niedrzwica Duża</w:t>
            </w:r>
          </w:sdtContent>
        </w:sdt>
      </w:sdtContent>
    </w:sdt>
    <w:bookmarkEnd w:id="0"/>
    <w:bookmarkEnd w:id="1"/>
  </w:p>
  <w:p w14:paraId="32A9B9F4" w14:textId="77777777" w:rsidR="00AF1C59" w:rsidRDefault="00AF1C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FB376" w14:textId="77777777" w:rsidR="00574A17" w:rsidRPr="007F2062" w:rsidRDefault="00574A17">
      <w:r w:rsidRPr="007F2062">
        <w:rPr>
          <w:color w:val="000000"/>
        </w:rPr>
        <w:separator/>
      </w:r>
    </w:p>
  </w:footnote>
  <w:footnote w:type="continuationSeparator" w:id="0">
    <w:p w14:paraId="2724B7C5" w14:textId="77777777" w:rsidR="00574A17" w:rsidRPr="007F2062" w:rsidRDefault="00574A17">
      <w:r w:rsidRPr="007F206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46B1B" w14:textId="6356D073" w:rsidR="00524FA1" w:rsidRDefault="00DD69A6" w:rsidP="00524FA1">
    <w:pPr>
      <w:pStyle w:val="Nagwek"/>
      <w:jc w:val="center"/>
    </w:pPr>
    <w:r>
      <w:rPr>
        <w:noProof/>
      </w:rPr>
      <w:drawing>
        <wp:inline distT="0" distB="0" distL="0" distR="0" wp14:anchorId="1487C1CB" wp14:editId="37223F72">
          <wp:extent cx="5759450" cy="609600"/>
          <wp:effectExtent l="0" t="0" r="0" b="0"/>
          <wp:docPr id="1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nak: Fundusze Europejskie dla Lubelskiego. 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DB6AF5"/>
    <w:multiLevelType w:val="hybridMultilevel"/>
    <w:tmpl w:val="9CD64880"/>
    <w:lvl w:ilvl="0" w:tplc="6C8A87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6A172E9"/>
    <w:multiLevelType w:val="hybridMultilevel"/>
    <w:tmpl w:val="2CCE35C2"/>
    <w:lvl w:ilvl="0" w:tplc="43822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582394"/>
    <w:multiLevelType w:val="hybridMultilevel"/>
    <w:tmpl w:val="3D1EF7E6"/>
    <w:lvl w:ilvl="0" w:tplc="43822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42592"/>
    <w:multiLevelType w:val="hybridMultilevel"/>
    <w:tmpl w:val="30CEA05E"/>
    <w:lvl w:ilvl="0" w:tplc="6AB635D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9553682">
    <w:abstractNumId w:val="0"/>
  </w:num>
  <w:num w:numId="2" w16cid:durableId="848181544">
    <w:abstractNumId w:val="2"/>
  </w:num>
  <w:num w:numId="3" w16cid:durableId="2007439319">
    <w:abstractNumId w:val="3"/>
  </w:num>
  <w:num w:numId="4" w16cid:durableId="11226497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C1E"/>
    <w:rsid w:val="00002A76"/>
    <w:rsid w:val="00004E72"/>
    <w:rsid w:val="000051C1"/>
    <w:rsid w:val="000070D2"/>
    <w:rsid w:val="000076A8"/>
    <w:rsid w:val="00007E36"/>
    <w:rsid w:val="00010B6D"/>
    <w:rsid w:val="00011BD8"/>
    <w:rsid w:val="000137DA"/>
    <w:rsid w:val="00014657"/>
    <w:rsid w:val="00014C5A"/>
    <w:rsid w:val="00016D1B"/>
    <w:rsid w:val="00021692"/>
    <w:rsid w:val="000232DF"/>
    <w:rsid w:val="0002640F"/>
    <w:rsid w:val="000268F5"/>
    <w:rsid w:val="00027FC2"/>
    <w:rsid w:val="00030BBF"/>
    <w:rsid w:val="0004143C"/>
    <w:rsid w:val="0004420A"/>
    <w:rsid w:val="000456E9"/>
    <w:rsid w:val="00046748"/>
    <w:rsid w:val="00047481"/>
    <w:rsid w:val="00050A23"/>
    <w:rsid w:val="0005101B"/>
    <w:rsid w:val="000603CA"/>
    <w:rsid w:val="00061A2B"/>
    <w:rsid w:val="00062CB3"/>
    <w:rsid w:val="000631CC"/>
    <w:rsid w:val="00065826"/>
    <w:rsid w:val="0006777E"/>
    <w:rsid w:val="0007299E"/>
    <w:rsid w:val="00073F9A"/>
    <w:rsid w:val="0007605A"/>
    <w:rsid w:val="00076C0F"/>
    <w:rsid w:val="00077279"/>
    <w:rsid w:val="0008141D"/>
    <w:rsid w:val="000846F1"/>
    <w:rsid w:val="00085ACD"/>
    <w:rsid w:val="00085E50"/>
    <w:rsid w:val="00086A2A"/>
    <w:rsid w:val="00086BBA"/>
    <w:rsid w:val="00086CC9"/>
    <w:rsid w:val="000874D9"/>
    <w:rsid w:val="000909BE"/>
    <w:rsid w:val="00091A44"/>
    <w:rsid w:val="00091A60"/>
    <w:rsid w:val="00091C9E"/>
    <w:rsid w:val="00092429"/>
    <w:rsid w:val="00095FA8"/>
    <w:rsid w:val="00096E3E"/>
    <w:rsid w:val="00097361"/>
    <w:rsid w:val="000A0325"/>
    <w:rsid w:val="000A17F8"/>
    <w:rsid w:val="000A1C18"/>
    <w:rsid w:val="000A41E5"/>
    <w:rsid w:val="000A4C8D"/>
    <w:rsid w:val="000A67FA"/>
    <w:rsid w:val="000B21D3"/>
    <w:rsid w:val="000B2FBD"/>
    <w:rsid w:val="000B3A18"/>
    <w:rsid w:val="000B5E0F"/>
    <w:rsid w:val="000B7674"/>
    <w:rsid w:val="000C32D3"/>
    <w:rsid w:val="000C3652"/>
    <w:rsid w:val="000C38B8"/>
    <w:rsid w:val="000C4B4B"/>
    <w:rsid w:val="000C5B9A"/>
    <w:rsid w:val="000C7713"/>
    <w:rsid w:val="000C7EBD"/>
    <w:rsid w:val="000D4099"/>
    <w:rsid w:val="000D582D"/>
    <w:rsid w:val="000D5AC0"/>
    <w:rsid w:val="000D76D9"/>
    <w:rsid w:val="000D77D4"/>
    <w:rsid w:val="000E02AD"/>
    <w:rsid w:val="000E1002"/>
    <w:rsid w:val="000E434E"/>
    <w:rsid w:val="000E4B34"/>
    <w:rsid w:val="000E57B9"/>
    <w:rsid w:val="000E6DED"/>
    <w:rsid w:val="000E6DF4"/>
    <w:rsid w:val="000E7417"/>
    <w:rsid w:val="000E76C4"/>
    <w:rsid w:val="000E7C16"/>
    <w:rsid w:val="000F0670"/>
    <w:rsid w:val="000F1036"/>
    <w:rsid w:val="000F45F2"/>
    <w:rsid w:val="000F5E49"/>
    <w:rsid w:val="00101632"/>
    <w:rsid w:val="00101D01"/>
    <w:rsid w:val="0010214F"/>
    <w:rsid w:val="001038F4"/>
    <w:rsid w:val="0010465D"/>
    <w:rsid w:val="001047CE"/>
    <w:rsid w:val="00106269"/>
    <w:rsid w:val="00106748"/>
    <w:rsid w:val="001070AA"/>
    <w:rsid w:val="00107528"/>
    <w:rsid w:val="00107979"/>
    <w:rsid w:val="00110AE2"/>
    <w:rsid w:val="0011120A"/>
    <w:rsid w:val="00112B01"/>
    <w:rsid w:val="00112B5B"/>
    <w:rsid w:val="00114575"/>
    <w:rsid w:val="00114E2D"/>
    <w:rsid w:val="00115EE9"/>
    <w:rsid w:val="0012026C"/>
    <w:rsid w:val="00122AB5"/>
    <w:rsid w:val="0012535B"/>
    <w:rsid w:val="00126C6F"/>
    <w:rsid w:val="00132CD4"/>
    <w:rsid w:val="0013335F"/>
    <w:rsid w:val="001336A7"/>
    <w:rsid w:val="001344C1"/>
    <w:rsid w:val="0014311F"/>
    <w:rsid w:val="001436C3"/>
    <w:rsid w:val="001439E0"/>
    <w:rsid w:val="00145B3D"/>
    <w:rsid w:val="00146294"/>
    <w:rsid w:val="00147C11"/>
    <w:rsid w:val="00152F55"/>
    <w:rsid w:val="00156A5B"/>
    <w:rsid w:val="00156D18"/>
    <w:rsid w:val="00164405"/>
    <w:rsid w:val="0016557E"/>
    <w:rsid w:val="0016565C"/>
    <w:rsid w:val="00165955"/>
    <w:rsid w:val="00167BEB"/>
    <w:rsid w:val="0017264C"/>
    <w:rsid w:val="00172819"/>
    <w:rsid w:val="00173472"/>
    <w:rsid w:val="0017450E"/>
    <w:rsid w:val="001755E1"/>
    <w:rsid w:val="001772C1"/>
    <w:rsid w:val="00177D1F"/>
    <w:rsid w:val="00180CAE"/>
    <w:rsid w:val="001814D0"/>
    <w:rsid w:val="00182459"/>
    <w:rsid w:val="00182666"/>
    <w:rsid w:val="00183B25"/>
    <w:rsid w:val="00187091"/>
    <w:rsid w:val="00187F3F"/>
    <w:rsid w:val="00191DD2"/>
    <w:rsid w:val="00191FEA"/>
    <w:rsid w:val="001943AB"/>
    <w:rsid w:val="001A0166"/>
    <w:rsid w:val="001A1647"/>
    <w:rsid w:val="001A3F01"/>
    <w:rsid w:val="001A5051"/>
    <w:rsid w:val="001A627E"/>
    <w:rsid w:val="001B014E"/>
    <w:rsid w:val="001B1A3F"/>
    <w:rsid w:val="001B2033"/>
    <w:rsid w:val="001B320E"/>
    <w:rsid w:val="001B3569"/>
    <w:rsid w:val="001B6363"/>
    <w:rsid w:val="001B6F8A"/>
    <w:rsid w:val="001B7362"/>
    <w:rsid w:val="001B781F"/>
    <w:rsid w:val="001C2B1E"/>
    <w:rsid w:val="001C46D0"/>
    <w:rsid w:val="001D1063"/>
    <w:rsid w:val="001D162A"/>
    <w:rsid w:val="001D1CCA"/>
    <w:rsid w:val="001E06EC"/>
    <w:rsid w:val="001E3ACC"/>
    <w:rsid w:val="001E3C81"/>
    <w:rsid w:val="001E402F"/>
    <w:rsid w:val="001F1178"/>
    <w:rsid w:val="001F19CB"/>
    <w:rsid w:val="001F35CC"/>
    <w:rsid w:val="001F4666"/>
    <w:rsid w:val="001F4BDB"/>
    <w:rsid w:val="001F5403"/>
    <w:rsid w:val="001F7293"/>
    <w:rsid w:val="002033E1"/>
    <w:rsid w:val="00203893"/>
    <w:rsid w:val="00205171"/>
    <w:rsid w:val="002059E5"/>
    <w:rsid w:val="00205C56"/>
    <w:rsid w:val="00206F76"/>
    <w:rsid w:val="00212176"/>
    <w:rsid w:val="0021217A"/>
    <w:rsid w:val="002145AD"/>
    <w:rsid w:val="00214BD2"/>
    <w:rsid w:val="002151F3"/>
    <w:rsid w:val="00220921"/>
    <w:rsid w:val="00222591"/>
    <w:rsid w:val="00224FC4"/>
    <w:rsid w:val="00230EAA"/>
    <w:rsid w:val="002334C3"/>
    <w:rsid w:val="0023566E"/>
    <w:rsid w:val="002368D1"/>
    <w:rsid w:val="0023737C"/>
    <w:rsid w:val="00237D6B"/>
    <w:rsid w:val="002436F9"/>
    <w:rsid w:val="00244C63"/>
    <w:rsid w:val="002454A7"/>
    <w:rsid w:val="00246D6A"/>
    <w:rsid w:val="00247848"/>
    <w:rsid w:val="00250469"/>
    <w:rsid w:val="002505F4"/>
    <w:rsid w:val="00251416"/>
    <w:rsid w:val="0025247A"/>
    <w:rsid w:val="00253407"/>
    <w:rsid w:val="0025600A"/>
    <w:rsid w:val="00266E12"/>
    <w:rsid w:val="0026740C"/>
    <w:rsid w:val="0026742A"/>
    <w:rsid w:val="002706FC"/>
    <w:rsid w:val="002707D1"/>
    <w:rsid w:val="00270E1C"/>
    <w:rsid w:val="00270F56"/>
    <w:rsid w:val="002712AB"/>
    <w:rsid w:val="002735E4"/>
    <w:rsid w:val="002742B3"/>
    <w:rsid w:val="00274ADF"/>
    <w:rsid w:val="00276705"/>
    <w:rsid w:val="00281B02"/>
    <w:rsid w:val="0028206B"/>
    <w:rsid w:val="0028248B"/>
    <w:rsid w:val="00286693"/>
    <w:rsid w:val="00287460"/>
    <w:rsid w:val="002878ED"/>
    <w:rsid w:val="0029142E"/>
    <w:rsid w:val="00291625"/>
    <w:rsid w:val="002918D0"/>
    <w:rsid w:val="00292429"/>
    <w:rsid w:val="002926F3"/>
    <w:rsid w:val="002930E0"/>
    <w:rsid w:val="002930FE"/>
    <w:rsid w:val="0029467F"/>
    <w:rsid w:val="00296F8D"/>
    <w:rsid w:val="00297C1A"/>
    <w:rsid w:val="002A132B"/>
    <w:rsid w:val="002A1677"/>
    <w:rsid w:val="002A1FBF"/>
    <w:rsid w:val="002A21E4"/>
    <w:rsid w:val="002A3303"/>
    <w:rsid w:val="002A36A7"/>
    <w:rsid w:val="002A4ED0"/>
    <w:rsid w:val="002A6744"/>
    <w:rsid w:val="002A6821"/>
    <w:rsid w:val="002A693D"/>
    <w:rsid w:val="002A797B"/>
    <w:rsid w:val="002B045A"/>
    <w:rsid w:val="002B112F"/>
    <w:rsid w:val="002B2050"/>
    <w:rsid w:val="002B3E72"/>
    <w:rsid w:val="002B443D"/>
    <w:rsid w:val="002B5011"/>
    <w:rsid w:val="002C0410"/>
    <w:rsid w:val="002C04FF"/>
    <w:rsid w:val="002C0992"/>
    <w:rsid w:val="002C1248"/>
    <w:rsid w:val="002C1EE5"/>
    <w:rsid w:val="002C3A08"/>
    <w:rsid w:val="002C4566"/>
    <w:rsid w:val="002C5064"/>
    <w:rsid w:val="002C5795"/>
    <w:rsid w:val="002C69B9"/>
    <w:rsid w:val="002C7EC5"/>
    <w:rsid w:val="002C7FEE"/>
    <w:rsid w:val="002D27F1"/>
    <w:rsid w:val="002D33B1"/>
    <w:rsid w:val="002E1D02"/>
    <w:rsid w:val="002E31C0"/>
    <w:rsid w:val="002E5118"/>
    <w:rsid w:val="002E78B3"/>
    <w:rsid w:val="002F0A17"/>
    <w:rsid w:val="002F16BF"/>
    <w:rsid w:val="002F769D"/>
    <w:rsid w:val="00301F6A"/>
    <w:rsid w:val="00302785"/>
    <w:rsid w:val="0030369D"/>
    <w:rsid w:val="00303E6D"/>
    <w:rsid w:val="00305CF0"/>
    <w:rsid w:val="00307312"/>
    <w:rsid w:val="00307881"/>
    <w:rsid w:val="00307A91"/>
    <w:rsid w:val="0031046D"/>
    <w:rsid w:val="00310E28"/>
    <w:rsid w:val="003125E3"/>
    <w:rsid w:val="00312B8B"/>
    <w:rsid w:val="00313A5A"/>
    <w:rsid w:val="00313DF5"/>
    <w:rsid w:val="0031443D"/>
    <w:rsid w:val="00314D5C"/>
    <w:rsid w:val="00317C89"/>
    <w:rsid w:val="003203BF"/>
    <w:rsid w:val="003226F6"/>
    <w:rsid w:val="003234A1"/>
    <w:rsid w:val="003259D4"/>
    <w:rsid w:val="003315DF"/>
    <w:rsid w:val="003315EB"/>
    <w:rsid w:val="00331813"/>
    <w:rsid w:val="00333AEA"/>
    <w:rsid w:val="00334480"/>
    <w:rsid w:val="003350FB"/>
    <w:rsid w:val="00336EE1"/>
    <w:rsid w:val="0034439E"/>
    <w:rsid w:val="0034598D"/>
    <w:rsid w:val="00350356"/>
    <w:rsid w:val="00351C26"/>
    <w:rsid w:val="0035326B"/>
    <w:rsid w:val="0035467E"/>
    <w:rsid w:val="00354E0A"/>
    <w:rsid w:val="00361F36"/>
    <w:rsid w:val="00362870"/>
    <w:rsid w:val="0036363D"/>
    <w:rsid w:val="00367C52"/>
    <w:rsid w:val="00371A1B"/>
    <w:rsid w:val="00376E85"/>
    <w:rsid w:val="00380366"/>
    <w:rsid w:val="00380659"/>
    <w:rsid w:val="00380A9D"/>
    <w:rsid w:val="00380B11"/>
    <w:rsid w:val="003811CB"/>
    <w:rsid w:val="00385C81"/>
    <w:rsid w:val="00385E8E"/>
    <w:rsid w:val="00386D45"/>
    <w:rsid w:val="0039054E"/>
    <w:rsid w:val="00390683"/>
    <w:rsid w:val="00390A72"/>
    <w:rsid w:val="00390CE4"/>
    <w:rsid w:val="003925BD"/>
    <w:rsid w:val="003930F2"/>
    <w:rsid w:val="003932EA"/>
    <w:rsid w:val="0039347C"/>
    <w:rsid w:val="0039479D"/>
    <w:rsid w:val="003951CE"/>
    <w:rsid w:val="00396254"/>
    <w:rsid w:val="00396374"/>
    <w:rsid w:val="003A11FF"/>
    <w:rsid w:val="003A5922"/>
    <w:rsid w:val="003B0C33"/>
    <w:rsid w:val="003B2640"/>
    <w:rsid w:val="003B3201"/>
    <w:rsid w:val="003B4645"/>
    <w:rsid w:val="003B48C7"/>
    <w:rsid w:val="003B4BFF"/>
    <w:rsid w:val="003B544E"/>
    <w:rsid w:val="003B5FD5"/>
    <w:rsid w:val="003B6C78"/>
    <w:rsid w:val="003C06C2"/>
    <w:rsid w:val="003C12B7"/>
    <w:rsid w:val="003C3AAA"/>
    <w:rsid w:val="003C7108"/>
    <w:rsid w:val="003D091A"/>
    <w:rsid w:val="003D22AD"/>
    <w:rsid w:val="003D26CB"/>
    <w:rsid w:val="003D3CD7"/>
    <w:rsid w:val="003D3D04"/>
    <w:rsid w:val="003D5AF7"/>
    <w:rsid w:val="003D6DA6"/>
    <w:rsid w:val="003D70EA"/>
    <w:rsid w:val="003E422D"/>
    <w:rsid w:val="003E46A7"/>
    <w:rsid w:val="003E7130"/>
    <w:rsid w:val="003F25A6"/>
    <w:rsid w:val="003F2DBF"/>
    <w:rsid w:val="003F2E02"/>
    <w:rsid w:val="003F3F40"/>
    <w:rsid w:val="003F7E8C"/>
    <w:rsid w:val="00402B03"/>
    <w:rsid w:val="0040589F"/>
    <w:rsid w:val="004100A1"/>
    <w:rsid w:val="0041116A"/>
    <w:rsid w:val="00411CBB"/>
    <w:rsid w:val="0041382A"/>
    <w:rsid w:val="00415321"/>
    <w:rsid w:val="00415E69"/>
    <w:rsid w:val="00417325"/>
    <w:rsid w:val="004177B7"/>
    <w:rsid w:val="004178F9"/>
    <w:rsid w:val="00422354"/>
    <w:rsid w:val="00423AF7"/>
    <w:rsid w:val="00424983"/>
    <w:rsid w:val="00424F22"/>
    <w:rsid w:val="004300E4"/>
    <w:rsid w:val="004313A8"/>
    <w:rsid w:val="00433643"/>
    <w:rsid w:val="00433A64"/>
    <w:rsid w:val="00433FE9"/>
    <w:rsid w:val="004366A6"/>
    <w:rsid w:val="00437DDD"/>
    <w:rsid w:val="004408CC"/>
    <w:rsid w:val="00451626"/>
    <w:rsid w:val="00456F8D"/>
    <w:rsid w:val="004573B8"/>
    <w:rsid w:val="004601F0"/>
    <w:rsid w:val="0046077A"/>
    <w:rsid w:val="004609DE"/>
    <w:rsid w:val="00461C92"/>
    <w:rsid w:val="00462A5B"/>
    <w:rsid w:val="00462CDA"/>
    <w:rsid w:val="00463A7B"/>
    <w:rsid w:val="00463CD1"/>
    <w:rsid w:val="00466271"/>
    <w:rsid w:val="00470AD0"/>
    <w:rsid w:val="0047350E"/>
    <w:rsid w:val="00473F40"/>
    <w:rsid w:val="004742D1"/>
    <w:rsid w:val="00475DFC"/>
    <w:rsid w:val="004777CA"/>
    <w:rsid w:val="00480C0D"/>
    <w:rsid w:val="0048287B"/>
    <w:rsid w:val="00483B3C"/>
    <w:rsid w:val="00483D68"/>
    <w:rsid w:val="0048454B"/>
    <w:rsid w:val="00493D8A"/>
    <w:rsid w:val="00494D0B"/>
    <w:rsid w:val="00496C54"/>
    <w:rsid w:val="00496C97"/>
    <w:rsid w:val="0049779E"/>
    <w:rsid w:val="004978EC"/>
    <w:rsid w:val="004A44DA"/>
    <w:rsid w:val="004A5BD5"/>
    <w:rsid w:val="004A5CC2"/>
    <w:rsid w:val="004A68BE"/>
    <w:rsid w:val="004B0730"/>
    <w:rsid w:val="004B118E"/>
    <w:rsid w:val="004B4258"/>
    <w:rsid w:val="004B5CDA"/>
    <w:rsid w:val="004C273B"/>
    <w:rsid w:val="004C274C"/>
    <w:rsid w:val="004C4875"/>
    <w:rsid w:val="004D24FC"/>
    <w:rsid w:val="004D35CB"/>
    <w:rsid w:val="004D469D"/>
    <w:rsid w:val="004D5F9D"/>
    <w:rsid w:val="004D63FE"/>
    <w:rsid w:val="004D73CB"/>
    <w:rsid w:val="004D78E4"/>
    <w:rsid w:val="004E00F0"/>
    <w:rsid w:val="004E01FE"/>
    <w:rsid w:val="004E0CD2"/>
    <w:rsid w:val="004E0D7F"/>
    <w:rsid w:val="004E1415"/>
    <w:rsid w:val="004E17E2"/>
    <w:rsid w:val="004E247F"/>
    <w:rsid w:val="004E2913"/>
    <w:rsid w:val="004E3058"/>
    <w:rsid w:val="004E43F5"/>
    <w:rsid w:val="004E5171"/>
    <w:rsid w:val="004F2E09"/>
    <w:rsid w:val="004F439F"/>
    <w:rsid w:val="004F5DDD"/>
    <w:rsid w:val="004F7681"/>
    <w:rsid w:val="0050146F"/>
    <w:rsid w:val="005027C0"/>
    <w:rsid w:val="00505EF1"/>
    <w:rsid w:val="005143CB"/>
    <w:rsid w:val="00514D5A"/>
    <w:rsid w:val="005173FF"/>
    <w:rsid w:val="00517CF4"/>
    <w:rsid w:val="00522D1C"/>
    <w:rsid w:val="00522E61"/>
    <w:rsid w:val="00524052"/>
    <w:rsid w:val="00524FA1"/>
    <w:rsid w:val="00532607"/>
    <w:rsid w:val="005331D1"/>
    <w:rsid w:val="00536CAA"/>
    <w:rsid w:val="005371C2"/>
    <w:rsid w:val="0054091D"/>
    <w:rsid w:val="00542355"/>
    <w:rsid w:val="005445E1"/>
    <w:rsid w:val="00545705"/>
    <w:rsid w:val="00551399"/>
    <w:rsid w:val="00551959"/>
    <w:rsid w:val="005551D2"/>
    <w:rsid w:val="00555F64"/>
    <w:rsid w:val="00562B00"/>
    <w:rsid w:val="00571631"/>
    <w:rsid w:val="005717CA"/>
    <w:rsid w:val="00571BB8"/>
    <w:rsid w:val="00574A17"/>
    <w:rsid w:val="00575F49"/>
    <w:rsid w:val="00576165"/>
    <w:rsid w:val="00581476"/>
    <w:rsid w:val="0058165A"/>
    <w:rsid w:val="0058249D"/>
    <w:rsid w:val="00582BC6"/>
    <w:rsid w:val="00583347"/>
    <w:rsid w:val="005848CC"/>
    <w:rsid w:val="0058700E"/>
    <w:rsid w:val="00587761"/>
    <w:rsid w:val="00587C8F"/>
    <w:rsid w:val="00590E7C"/>
    <w:rsid w:val="0059131D"/>
    <w:rsid w:val="00592EE9"/>
    <w:rsid w:val="005933DC"/>
    <w:rsid w:val="0059380B"/>
    <w:rsid w:val="00594F02"/>
    <w:rsid w:val="005A26D5"/>
    <w:rsid w:val="005A368D"/>
    <w:rsid w:val="005A48CB"/>
    <w:rsid w:val="005A7A08"/>
    <w:rsid w:val="005B2D12"/>
    <w:rsid w:val="005C22BA"/>
    <w:rsid w:val="005C559A"/>
    <w:rsid w:val="005D4A02"/>
    <w:rsid w:val="005D5B63"/>
    <w:rsid w:val="005E139A"/>
    <w:rsid w:val="005E1FBC"/>
    <w:rsid w:val="005E2B95"/>
    <w:rsid w:val="005E454E"/>
    <w:rsid w:val="005E4E62"/>
    <w:rsid w:val="005E73BE"/>
    <w:rsid w:val="005F2CE4"/>
    <w:rsid w:val="005F470B"/>
    <w:rsid w:val="00600B6F"/>
    <w:rsid w:val="00601845"/>
    <w:rsid w:val="00602032"/>
    <w:rsid w:val="0060233F"/>
    <w:rsid w:val="006070AB"/>
    <w:rsid w:val="00614C62"/>
    <w:rsid w:val="00615A75"/>
    <w:rsid w:val="0061648F"/>
    <w:rsid w:val="00626B78"/>
    <w:rsid w:val="0063075C"/>
    <w:rsid w:val="006309CB"/>
    <w:rsid w:val="006309E5"/>
    <w:rsid w:val="00630DC8"/>
    <w:rsid w:val="006334D8"/>
    <w:rsid w:val="00634463"/>
    <w:rsid w:val="00635350"/>
    <w:rsid w:val="0063645E"/>
    <w:rsid w:val="0063714D"/>
    <w:rsid w:val="00637CD4"/>
    <w:rsid w:val="006415BE"/>
    <w:rsid w:val="00642642"/>
    <w:rsid w:val="006437B7"/>
    <w:rsid w:val="006442DB"/>
    <w:rsid w:val="0064637A"/>
    <w:rsid w:val="006463CD"/>
    <w:rsid w:val="00646BAC"/>
    <w:rsid w:val="00650DC3"/>
    <w:rsid w:val="0065224D"/>
    <w:rsid w:val="00652809"/>
    <w:rsid w:val="00652A0A"/>
    <w:rsid w:val="00654CD8"/>
    <w:rsid w:val="006564BF"/>
    <w:rsid w:val="00660C08"/>
    <w:rsid w:val="0066176A"/>
    <w:rsid w:val="006656D9"/>
    <w:rsid w:val="00670A74"/>
    <w:rsid w:val="00672857"/>
    <w:rsid w:val="006736B4"/>
    <w:rsid w:val="00673BF3"/>
    <w:rsid w:val="006756E1"/>
    <w:rsid w:val="00676CFF"/>
    <w:rsid w:val="00677C91"/>
    <w:rsid w:val="00680CE6"/>
    <w:rsid w:val="00681083"/>
    <w:rsid w:val="00681C1E"/>
    <w:rsid w:val="00682A63"/>
    <w:rsid w:val="0068380F"/>
    <w:rsid w:val="00684B27"/>
    <w:rsid w:val="006860CB"/>
    <w:rsid w:val="0068722E"/>
    <w:rsid w:val="0069131C"/>
    <w:rsid w:val="0069444B"/>
    <w:rsid w:val="00696BF8"/>
    <w:rsid w:val="006A0D7D"/>
    <w:rsid w:val="006A11EB"/>
    <w:rsid w:val="006A11F7"/>
    <w:rsid w:val="006A5668"/>
    <w:rsid w:val="006A700F"/>
    <w:rsid w:val="006A7034"/>
    <w:rsid w:val="006B10A8"/>
    <w:rsid w:val="006B14E7"/>
    <w:rsid w:val="006B561C"/>
    <w:rsid w:val="006B5BAA"/>
    <w:rsid w:val="006B5C32"/>
    <w:rsid w:val="006B5F2E"/>
    <w:rsid w:val="006B6F58"/>
    <w:rsid w:val="006B734A"/>
    <w:rsid w:val="006B7BD4"/>
    <w:rsid w:val="006C169D"/>
    <w:rsid w:val="006C1BC6"/>
    <w:rsid w:val="006C7138"/>
    <w:rsid w:val="006C7E8C"/>
    <w:rsid w:val="006D0303"/>
    <w:rsid w:val="006D1B9E"/>
    <w:rsid w:val="006D29B0"/>
    <w:rsid w:val="006D4718"/>
    <w:rsid w:val="006D47CE"/>
    <w:rsid w:val="006D5466"/>
    <w:rsid w:val="006E19A3"/>
    <w:rsid w:val="006E324A"/>
    <w:rsid w:val="006F078F"/>
    <w:rsid w:val="006F2C4F"/>
    <w:rsid w:val="006F30A6"/>
    <w:rsid w:val="006F5E2F"/>
    <w:rsid w:val="006F7832"/>
    <w:rsid w:val="0070717A"/>
    <w:rsid w:val="00707B0F"/>
    <w:rsid w:val="007124A8"/>
    <w:rsid w:val="007124FB"/>
    <w:rsid w:val="00716584"/>
    <w:rsid w:val="00720DF1"/>
    <w:rsid w:val="00725469"/>
    <w:rsid w:val="0072754B"/>
    <w:rsid w:val="00732FCC"/>
    <w:rsid w:val="007331A7"/>
    <w:rsid w:val="0073551B"/>
    <w:rsid w:val="007357E2"/>
    <w:rsid w:val="00740927"/>
    <w:rsid w:val="00741EFA"/>
    <w:rsid w:val="00742086"/>
    <w:rsid w:val="00742918"/>
    <w:rsid w:val="00744BA1"/>
    <w:rsid w:val="00747CDA"/>
    <w:rsid w:val="00751312"/>
    <w:rsid w:val="007527DB"/>
    <w:rsid w:val="007544EC"/>
    <w:rsid w:val="0075607E"/>
    <w:rsid w:val="00757710"/>
    <w:rsid w:val="00761C4F"/>
    <w:rsid w:val="00765CCF"/>
    <w:rsid w:val="00772A98"/>
    <w:rsid w:val="007741B5"/>
    <w:rsid w:val="007745C1"/>
    <w:rsid w:val="0077465D"/>
    <w:rsid w:val="007751AE"/>
    <w:rsid w:val="007770C4"/>
    <w:rsid w:val="00777ED9"/>
    <w:rsid w:val="00785329"/>
    <w:rsid w:val="00793098"/>
    <w:rsid w:val="00794D07"/>
    <w:rsid w:val="00796750"/>
    <w:rsid w:val="007A09D1"/>
    <w:rsid w:val="007A1A30"/>
    <w:rsid w:val="007A3C5C"/>
    <w:rsid w:val="007A49D6"/>
    <w:rsid w:val="007A58DE"/>
    <w:rsid w:val="007A6269"/>
    <w:rsid w:val="007A78A1"/>
    <w:rsid w:val="007B15CD"/>
    <w:rsid w:val="007B1A64"/>
    <w:rsid w:val="007B2558"/>
    <w:rsid w:val="007B3896"/>
    <w:rsid w:val="007B44D9"/>
    <w:rsid w:val="007B7677"/>
    <w:rsid w:val="007C0904"/>
    <w:rsid w:val="007C0BBA"/>
    <w:rsid w:val="007C601B"/>
    <w:rsid w:val="007C6109"/>
    <w:rsid w:val="007C730E"/>
    <w:rsid w:val="007D1F9C"/>
    <w:rsid w:val="007D2662"/>
    <w:rsid w:val="007D35D8"/>
    <w:rsid w:val="007D39A2"/>
    <w:rsid w:val="007D4FEA"/>
    <w:rsid w:val="007D6F6F"/>
    <w:rsid w:val="007E1608"/>
    <w:rsid w:val="007E2F73"/>
    <w:rsid w:val="007E57C8"/>
    <w:rsid w:val="007E6312"/>
    <w:rsid w:val="007F050C"/>
    <w:rsid w:val="007F0524"/>
    <w:rsid w:val="007F0BE8"/>
    <w:rsid w:val="007F1B96"/>
    <w:rsid w:val="007F2062"/>
    <w:rsid w:val="007F61A0"/>
    <w:rsid w:val="00801210"/>
    <w:rsid w:val="00801969"/>
    <w:rsid w:val="00801D09"/>
    <w:rsid w:val="008024F2"/>
    <w:rsid w:val="00803291"/>
    <w:rsid w:val="00804D17"/>
    <w:rsid w:val="00806526"/>
    <w:rsid w:val="008069D2"/>
    <w:rsid w:val="00807674"/>
    <w:rsid w:val="008076AA"/>
    <w:rsid w:val="0080775B"/>
    <w:rsid w:val="00807E9F"/>
    <w:rsid w:val="00807F39"/>
    <w:rsid w:val="00810970"/>
    <w:rsid w:val="00810C25"/>
    <w:rsid w:val="008115ED"/>
    <w:rsid w:val="00811FDD"/>
    <w:rsid w:val="0081260A"/>
    <w:rsid w:val="0081265C"/>
    <w:rsid w:val="00814858"/>
    <w:rsid w:val="00817478"/>
    <w:rsid w:val="00820A79"/>
    <w:rsid w:val="00822587"/>
    <w:rsid w:val="00822F56"/>
    <w:rsid w:val="00826272"/>
    <w:rsid w:val="0082679C"/>
    <w:rsid w:val="00830DF9"/>
    <w:rsid w:val="008317ED"/>
    <w:rsid w:val="00833C38"/>
    <w:rsid w:val="00833FD8"/>
    <w:rsid w:val="00835748"/>
    <w:rsid w:val="008375AE"/>
    <w:rsid w:val="00837718"/>
    <w:rsid w:val="0084250A"/>
    <w:rsid w:val="0084708A"/>
    <w:rsid w:val="008524B1"/>
    <w:rsid w:val="00852A59"/>
    <w:rsid w:val="0085303C"/>
    <w:rsid w:val="00856500"/>
    <w:rsid w:val="00857D15"/>
    <w:rsid w:val="0086024A"/>
    <w:rsid w:val="008602CC"/>
    <w:rsid w:val="00860F90"/>
    <w:rsid w:val="008618AA"/>
    <w:rsid w:val="0086450A"/>
    <w:rsid w:val="00865895"/>
    <w:rsid w:val="00867BBF"/>
    <w:rsid w:val="008735AD"/>
    <w:rsid w:val="008736E3"/>
    <w:rsid w:val="0087557F"/>
    <w:rsid w:val="00880511"/>
    <w:rsid w:val="00881CB5"/>
    <w:rsid w:val="0088341B"/>
    <w:rsid w:val="00883F74"/>
    <w:rsid w:val="00886C72"/>
    <w:rsid w:val="0089090C"/>
    <w:rsid w:val="00893B07"/>
    <w:rsid w:val="008941BD"/>
    <w:rsid w:val="00897022"/>
    <w:rsid w:val="008A32A0"/>
    <w:rsid w:val="008A37A6"/>
    <w:rsid w:val="008A4BF2"/>
    <w:rsid w:val="008A4C79"/>
    <w:rsid w:val="008A6423"/>
    <w:rsid w:val="008B1B86"/>
    <w:rsid w:val="008B511F"/>
    <w:rsid w:val="008B5C67"/>
    <w:rsid w:val="008B7A51"/>
    <w:rsid w:val="008B7C2D"/>
    <w:rsid w:val="008C071C"/>
    <w:rsid w:val="008C0BDA"/>
    <w:rsid w:val="008C10FB"/>
    <w:rsid w:val="008C3097"/>
    <w:rsid w:val="008C38C2"/>
    <w:rsid w:val="008C3C96"/>
    <w:rsid w:val="008C3DC3"/>
    <w:rsid w:val="008C53A5"/>
    <w:rsid w:val="008E3D89"/>
    <w:rsid w:val="008E7BD1"/>
    <w:rsid w:val="008F0279"/>
    <w:rsid w:val="008F1492"/>
    <w:rsid w:val="008F22CB"/>
    <w:rsid w:val="008F2770"/>
    <w:rsid w:val="008F283A"/>
    <w:rsid w:val="008F3557"/>
    <w:rsid w:val="008F38E4"/>
    <w:rsid w:val="008F4B8B"/>
    <w:rsid w:val="008F5D8C"/>
    <w:rsid w:val="008F6AF9"/>
    <w:rsid w:val="009024D6"/>
    <w:rsid w:val="009044F8"/>
    <w:rsid w:val="009049E4"/>
    <w:rsid w:val="00905B07"/>
    <w:rsid w:val="00906565"/>
    <w:rsid w:val="00906DC3"/>
    <w:rsid w:val="009079A8"/>
    <w:rsid w:val="00907B14"/>
    <w:rsid w:val="00907DD6"/>
    <w:rsid w:val="00911130"/>
    <w:rsid w:val="00912C05"/>
    <w:rsid w:val="009155F1"/>
    <w:rsid w:val="009229BA"/>
    <w:rsid w:val="009236C2"/>
    <w:rsid w:val="009245A2"/>
    <w:rsid w:val="00934981"/>
    <w:rsid w:val="00936581"/>
    <w:rsid w:val="00937005"/>
    <w:rsid w:val="00942362"/>
    <w:rsid w:val="00943AD2"/>
    <w:rsid w:val="009461DB"/>
    <w:rsid w:val="00947A0E"/>
    <w:rsid w:val="00950A51"/>
    <w:rsid w:val="00951DFD"/>
    <w:rsid w:val="009529D2"/>
    <w:rsid w:val="0095580E"/>
    <w:rsid w:val="009609FD"/>
    <w:rsid w:val="009619FC"/>
    <w:rsid w:val="00962619"/>
    <w:rsid w:val="009631E4"/>
    <w:rsid w:val="00964A8B"/>
    <w:rsid w:val="00965AAA"/>
    <w:rsid w:val="009679CA"/>
    <w:rsid w:val="009702D0"/>
    <w:rsid w:val="009747B6"/>
    <w:rsid w:val="0097594D"/>
    <w:rsid w:val="00976332"/>
    <w:rsid w:val="00977273"/>
    <w:rsid w:val="00977A5C"/>
    <w:rsid w:val="00977B94"/>
    <w:rsid w:val="009839C3"/>
    <w:rsid w:val="009864AD"/>
    <w:rsid w:val="009868F3"/>
    <w:rsid w:val="0098739F"/>
    <w:rsid w:val="00990EC5"/>
    <w:rsid w:val="00997BEC"/>
    <w:rsid w:val="009A0BEB"/>
    <w:rsid w:val="009A204B"/>
    <w:rsid w:val="009A7695"/>
    <w:rsid w:val="009B063B"/>
    <w:rsid w:val="009B369A"/>
    <w:rsid w:val="009B57CA"/>
    <w:rsid w:val="009C04E1"/>
    <w:rsid w:val="009C0604"/>
    <w:rsid w:val="009C0F6F"/>
    <w:rsid w:val="009C165C"/>
    <w:rsid w:val="009C32DA"/>
    <w:rsid w:val="009D00FE"/>
    <w:rsid w:val="009D01B2"/>
    <w:rsid w:val="009D0D83"/>
    <w:rsid w:val="009D1B12"/>
    <w:rsid w:val="009D2040"/>
    <w:rsid w:val="009D4062"/>
    <w:rsid w:val="009E0D50"/>
    <w:rsid w:val="009E6406"/>
    <w:rsid w:val="009E6F1B"/>
    <w:rsid w:val="009E77C2"/>
    <w:rsid w:val="009F389F"/>
    <w:rsid w:val="009F40A4"/>
    <w:rsid w:val="009F6BD9"/>
    <w:rsid w:val="00A013C6"/>
    <w:rsid w:val="00A01F94"/>
    <w:rsid w:val="00A03110"/>
    <w:rsid w:val="00A03A8A"/>
    <w:rsid w:val="00A04AA8"/>
    <w:rsid w:val="00A10E97"/>
    <w:rsid w:val="00A116F5"/>
    <w:rsid w:val="00A13CF1"/>
    <w:rsid w:val="00A153C2"/>
    <w:rsid w:val="00A16273"/>
    <w:rsid w:val="00A17883"/>
    <w:rsid w:val="00A2043D"/>
    <w:rsid w:val="00A21982"/>
    <w:rsid w:val="00A21A82"/>
    <w:rsid w:val="00A2336F"/>
    <w:rsid w:val="00A23A6F"/>
    <w:rsid w:val="00A302F0"/>
    <w:rsid w:val="00A315F9"/>
    <w:rsid w:val="00A31D00"/>
    <w:rsid w:val="00A33590"/>
    <w:rsid w:val="00A34F6E"/>
    <w:rsid w:val="00A40939"/>
    <w:rsid w:val="00A46365"/>
    <w:rsid w:val="00A46CA4"/>
    <w:rsid w:val="00A46E36"/>
    <w:rsid w:val="00A50046"/>
    <w:rsid w:val="00A506DE"/>
    <w:rsid w:val="00A57694"/>
    <w:rsid w:val="00A579EB"/>
    <w:rsid w:val="00A6095D"/>
    <w:rsid w:val="00A61CCC"/>
    <w:rsid w:val="00A63EC8"/>
    <w:rsid w:val="00A64EE0"/>
    <w:rsid w:val="00A65BF4"/>
    <w:rsid w:val="00A6746B"/>
    <w:rsid w:val="00A73E7B"/>
    <w:rsid w:val="00A80FDA"/>
    <w:rsid w:val="00A82362"/>
    <w:rsid w:val="00A833EE"/>
    <w:rsid w:val="00A838BC"/>
    <w:rsid w:val="00A856A9"/>
    <w:rsid w:val="00A87FFD"/>
    <w:rsid w:val="00A9282F"/>
    <w:rsid w:val="00A95EBE"/>
    <w:rsid w:val="00A974E5"/>
    <w:rsid w:val="00A97BCD"/>
    <w:rsid w:val="00AA04DD"/>
    <w:rsid w:val="00AA3F89"/>
    <w:rsid w:val="00AA7117"/>
    <w:rsid w:val="00AB0718"/>
    <w:rsid w:val="00AB265C"/>
    <w:rsid w:val="00AC1801"/>
    <w:rsid w:val="00AC1DB5"/>
    <w:rsid w:val="00AC2E08"/>
    <w:rsid w:val="00AC45FA"/>
    <w:rsid w:val="00AC493F"/>
    <w:rsid w:val="00AC59B8"/>
    <w:rsid w:val="00AC6995"/>
    <w:rsid w:val="00AC72EB"/>
    <w:rsid w:val="00AC743D"/>
    <w:rsid w:val="00AD0B14"/>
    <w:rsid w:val="00AD3AFE"/>
    <w:rsid w:val="00AD454F"/>
    <w:rsid w:val="00AD46B7"/>
    <w:rsid w:val="00AD47EC"/>
    <w:rsid w:val="00AD75A0"/>
    <w:rsid w:val="00AD7E62"/>
    <w:rsid w:val="00AE31AC"/>
    <w:rsid w:val="00AE31E2"/>
    <w:rsid w:val="00AE3C9D"/>
    <w:rsid w:val="00AE4526"/>
    <w:rsid w:val="00AE5104"/>
    <w:rsid w:val="00AE5F39"/>
    <w:rsid w:val="00AE7360"/>
    <w:rsid w:val="00AF0682"/>
    <w:rsid w:val="00AF1C59"/>
    <w:rsid w:val="00AF3BAE"/>
    <w:rsid w:val="00AF4280"/>
    <w:rsid w:val="00AF42CE"/>
    <w:rsid w:val="00AF6BBE"/>
    <w:rsid w:val="00AF7F83"/>
    <w:rsid w:val="00B00282"/>
    <w:rsid w:val="00B01969"/>
    <w:rsid w:val="00B026B8"/>
    <w:rsid w:val="00B02E4D"/>
    <w:rsid w:val="00B05653"/>
    <w:rsid w:val="00B05DDF"/>
    <w:rsid w:val="00B06754"/>
    <w:rsid w:val="00B10D51"/>
    <w:rsid w:val="00B111BA"/>
    <w:rsid w:val="00B14834"/>
    <w:rsid w:val="00B149BD"/>
    <w:rsid w:val="00B1580E"/>
    <w:rsid w:val="00B202FE"/>
    <w:rsid w:val="00B21548"/>
    <w:rsid w:val="00B2204A"/>
    <w:rsid w:val="00B30320"/>
    <w:rsid w:val="00B3044A"/>
    <w:rsid w:val="00B32289"/>
    <w:rsid w:val="00B33F4C"/>
    <w:rsid w:val="00B343A6"/>
    <w:rsid w:val="00B343A9"/>
    <w:rsid w:val="00B3594E"/>
    <w:rsid w:val="00B3709C"/>
    <w:rsid w:val="00B37532"/>
    <w:rsid w:val="00B404D7"/>
    <w:rsid w:val="00B4072D"/>
    <w:rsid w:val="00B40D43"/>
    <w:rsid w:val="00B448FE"/>
    <w:rsid w:val="00B44CF5"/>
    <w:rsid w:val="00B4638E"/>
    <w:rsid w:val="00B47094"/>
    <w:rsid w:val="00B509F1"/>
    <w:rsid w:val="00B524A0"/>
    <w:rsid w:val="00B5418B"/>
    <w:rsid w:val="00B60116"/>
    <w:rsid w:val="00B620B8"/>
    <w:rsid w:val="00B6345A"/>
    <w:rsid w:val="00B64CEF"/>
    <w:rsid w:val="00B70491"/>
    <w:rsid w:val="00B73481"/>
    <w:rsid w:val="00B73798"/>
    <w:rsid w:val="00B744B6"/>
    <w:rsid w:val="00B764B2"/>
    <w:rsid w:val="00B765C0"/>
    <w:rsid w:val="00B77044"/>
    <w:rsid w:val="00B80F88"/>
    <w:rsid w:val="00B81E81"/>
    <w:rsid w:val="00B821A6"/>
    <w:rsid w:val="00B8283A"/>
    <w:rsid w:val="00B86854"/>
    <w:rsid w:val="00B8706A"/>
    <w:rsid w:val="00B9088C"/>
    <w:rsid w:val="00B91DA3"/>
    <w:rsid w:val="00B936D5"/>
    <w:rsid w:val="00B95C44"/>
    <w:rsid w:val="00B96F98"/>
    <w:rsid w:val="00BA1880"/>
    <w:rsid w:val="00BA1AD1"/>
    <w:rsid w:val="00BA1D90"/>
    <w:rsid w:val="00BA27DF"/>
    <w:rsid w:val="00BA5D9B"/>
    <w:rsid w:val="00BA7CE5"/>
    <w:rsid w:val="00BB2507"/>
    <w:rsid w:val="00BB339C"/>
    <w:rsid w:val="00BB42B6"/>
    <w:rsid w:val="00BB508E"/>
    <w:rsid w:val="00BB5617"/>
    <w:rsid w:val="00BB578D"/>
    <w:rsid w:val="00BB5D10"/>
    <w:rsid w:val="00BB694A"/>
    <w:rsid w:val="00BB74CB"/>
    <w:rsid w:val="00BB7639"/>
    <w:rsid w:val="00BB7932"/>
    <w:rsid w:val="00BC0865"/>
    <w:rsid w:val="00BC226A"/>
    <w:rsid w:val="00BC4B4A"/>
    <w:rsid w:val="00BC6499"/>
    <w:rsid w:val="00BD1517"/>
    <w:rsid w:val="00BD21E8"/>
    <w:rsid w:val="00BD4982"/>
    <w:rsid w:val="00BD4AA0"/>
    <w:rsid w:val="00BD4BA4"/>
    <w:rsid w:val="00BD4D68"/>
    <w:rsid w:val="00BD62D8"/>
    <w:rsid w:val="00BD6BA2"/>
    <w:rsid w:val="00BE133D"/>
    <w:rsid w:val="00BE4941"/>
    <w:rsid w:val="00BE591A"/>
    <w:rsid w:val="00BE5924"/>
    <w:rsid w:val="00BE5B69"/>
    <w:rsid w:val="00BE7764"/>
    <w:rsid w:val="00BF36AA"/>
    <w:rsid w:val="00BF39E5"/>
    <w:rsid w:val="00BF3BFB"/>
    <w:rsid w:val="00BF5E9D"/>
    <w:rsid w:val="00BF786D"/>
    <w:rsid w:val="00C027BC"/>
    <w:rsid w:val="00C04792"/>
    <w:rsid w:val="00C04938"/>
    <w:rsid w:val="00C05D82"/>
    <w:rsid w:val="00C13BC7"/>
    <w:rsid w:val="00C145C4"/>
    <w:rsid w:val="00C14BCB"/>
    <w:rsid w:val="00C1783D"/>
    <w:rsid w:val="00C17E22"/>
    <w:rsid w:val="00C17ECC"/>
    <w:rsid w:val="00C21DDF"/>
    <w:rsid w:val="00C276B5"/>
    <w:rsid w:val="00C312E2"/>
    <w:rsid w:val="00C31766"/>
    <w:rsid w:val="00C34C29"/>
    <w:rsid w:val="00C3511E"/>
    <w:rsid w:val="00C40414"/>
    <w:rsid w:val="00C411B6"/>
    <w:rsid w:val="00C41BDC"/>
    <w:rsid w:val="00C43446"/>
    <w:rsid w:val="00C44ED5"/>
    <w:rsid w:val="00C44FE1"/>
    <w:rsid w:val="00C453F9"/>
    <w:rsid w:val="00C517E2"/>
    <w:rsid w:val="00C52748"/>
    <w:rsid w:val="00C53B4A"/>
    <w:rsid w:val="00C54294"/>
    <w:rsid w:val="00C564FA"/>
    <w:rsid w:val="00C57D44"/>
    <w:rsid w:val="00C61973"/>
    <w:rsid w:val="00C625F7"/>
    <w:rsid w:val="00C64458"/>
    <w:rsid w:val="00C653BB"/>
    <w:rsid w:val="00C65E86"/>
    <w:rsid w:val="00C70CC6"/>
    <w:rsid w:val="00C8080F"/>
    <w:rsid w:val="00C81BE7"/>
    <w:rsid w:val="00C84D5D"/>
    <w:rsid w:val="00C87858"/>
    <w:rsid w:val="00C90F34"/>
    <w:rsid w:val="00C95F87"/>
    <w:rsid w:val="00C97E28"/>
    <w:rsid w:val="00CA181A"/>
    <w:rsid w:val="00CA3616"/>
    <w:rsid w:val="00CA666C"/>
    <w:rsid w:val="00CA71E6"/>
    <w:rsid w:val="00CB68F3"/>
    <w:rsid w:val="00CB6A88"/>
    <w:rsid w:val="00CB7C9B"/>
    <w:rsid w:val="00CC0422"/>
    <w:rsid w:val="00CC1940"/>
    <w:rsid w:val="00CC1AC8"/>
    <w:rsid w:val="00CC2FED"/>
    <w:rsid w:val="00CC3D3D"/>
    <w:rsid w:val="00CC3E53"/>
    <w:rsid w:val="00CC55EC"/>
    <w:rsid w:val="00CC5B8F"/>
    <w:rsid w:val="00CC702C"/>
    <w:rsid w:val="00CC714B"/>
    <w:rsid w:val="00CD09EC"/>
    <w:rsid w:val="00CD12D6"/>
    <w:rsid w:val="00CD2DB8"/>
    <w:rsid w:val="00CD4EDA"/>
    <w:rsid w:val="00CD59E4"/>
    <w:rsid w:val="00CD5AE1"/>
    <w:rsid w:val="00CD7B62"/>
    <w:rsid w:val="00CE0FBF"/>
    <w:rsid w:val="00CE1BE3"/>
    <w:rsid w:val="00CE24FF"/>
    <w:rsid w:val="00CF0342"/>
    <w:rsid w:val="00CF0FBE"/>
    <w:rsid w:val="00CF39A2"/>
    <w:rsid w:val="00CF463E"/>
    <w:rsid w:val="00CF4758"/>
    <w:rsid w:val="00CF622B"/>
    <w:rsid w:val="00D027E0"/>
    <w:rsid w:val="00D030C4"/>
    <w:rsid w:val="00D03A94"/>
    <w:rsid w:val="00D05013"/>
    <w:rsid w:val="00D06199"/>
    <w:rsid w:val="00D06B44"/>
    <w:rsid w:val="00D06BBD"/>
    <w:rsid w:val="00D07693"/>
    <w:rsid w:val="00D1209B"/>
    <w:rsid w:val="00D13D03"/>
    <w:rsid w:val="00D17380"/>
    <w:rsid w:val="00D201AB"/>
    <w:rsid w:val="00D220D5"/>
    <w:rsid w:val="00D23397"/>
    <w:rsid w:val="00D251EC"/>
    <w:rsid w:val="00D2618B"/>
    <w:rsid w:val="00D2633F"/>
    <w:rsid w:val="00D267A1"/>
    <w:rsid w:val="00D26D2A"/>
    <w:rsid w:val="00D30776"/>
    <w:rsid w:val="00D30F6E"/>
    <w:rsid w:val="00D310BE"/>
    <w:rsid w:val="00D3352E"/>
    <w:rsid w:val="00D33C31"/>
    <w:rsid w:val="00D33D86"/>
    <w:rsid w:val="00D34C68"/>
    <w:rsid w:val="00D369F6"/>
    <w:rsid w:val="00D40468"/>
    <w:rsid w:val="00D40861"/>
    <w:rsid w:val="00D4202F"/>
    <w:rsid w:val="00D43A72"/>
    <w:rsid w:val="00D44423"/>
    <w:rsid w:val="00D448F7"/>
    <w:rsid w:val="00D4557F"/>
    <w:rsid w:val="00D455AF"/>
    <w:rsid w:val="00D5082F"/>
    <w:rsid w:val="00D50DD4"/>
    <w:rsid w:val="00D5214A"/>
    <w:rsid w:val="00D53548"/>
    <w:rsid w:val="00D57DFF"/>
    <w:rsid w:val="00D60931"/>
    <w:rsid w:val="00D60C25"/>
    <w:rsid w:val="00D615DE"/>
    <w:rsid w:val="00D61BEF"/>
    <w:rsid w:val="00D61CDE"/>
    <w:rsid w:val="00D6596F"/>
    <w:rsid w:val="00D667DD"/>
    <w:rsid w:val="00D677ED"/>
    <w:rsid w:val="00D70D8E"/>
    <w:rsid w:val="00D719BC"/>
    <w:rsid w:val="00D724AE"/>
    <w:rsid w:val="00D72A2E"/>
    <w:rsid w:val="00D7332B"/>
    <w:rsid w:val="00D75092"/>
    <w:rsid w:val="00D77FD1"/>
    <w:rsid w:val="00D846D5"/>
    <w:rsid w:val="00D85E1A"/>
    <w:rsid w:val="00D90B13"/>
    <w:rsid w:val="00D91760"/>
    <w:rsid w:val="00D935B2"/>
    <w:rsid w:val="00D93809"/>
    <w:rsid w:val="00D950C6"/>
    <w:rsid w:val="00D96197"/>
    <w:rsid w:val="00DA034A"/>
    <w:rsid w:val="00DA12CD"/>
    <w:rsid w:val="00DA4761"/>
    <w:rsid w:val="00DA4E18"/>
    <w:rsid w:val="00DA53F0"/>
    <w:rsid w:val="00DA7CB9"/>
    <w:rsid w:val="00DB0C2E"/>
    <w:rsid w:val="00DB0E24"/>
    <w:rsid w:val="00DB0E6C"/>
    <w:rsid w:val="00DB570F"/>
    <w:rsid w:val="00DC0234"/>
    <w:rsid w:val="00DC099A"/>
    <w:rsid w:val="00DC1F10"/>
    <w:rsid w:val="00DC31CA"/>
    <w:rsid w:val="00DC6EA4"/>
    <w:rsid w:val="00DD12D0"/>
    <w:rsid w:val="00DD1B7B"/>
    <w:rsid w:val="00DD1C9F"/>
    <w:rsid w:val="00DD24F7"/>
    <w:rsid w:val="00DD6487"/>
    <w:rsid w:val="00DD69A6"/>
    <w:rsid w:val="00DD6B01"/>
    <w:rsid w:val="00DD6E43"/>
    <w:rsid w:val="00DE0956"/>
    <w:rsid w:val="00DE14FE"/>
    <w:rsid w:val="00DE40D1"/>
    <w:rsid w:val="00DE428C"/>
    <w:rsid w:val="00DE56C0"/>
    <w:rsid w:val="00DE6210"/>
    <w:rsid w:val="00DF19A7"/>
    <w:rsid w:val="00DF1D2A"/>
    <w:rsid w:val="00DF4C83"/>
    <w:rsid w:val="00DF4DA5"/>
    <w:rsid w:val="00DF6238"/>
    <w:rsid w:val="00DF6E06"/>
    <w:rsid w:val="00DF75B0"/>
    <w:rsid w:val="00DF7B80"/>
    <w:rsid w:val="00E00142"/>
    <w:rsid w:val="00E00226"/>
    <w:rsid w:val="00E00375"/>
    <w:rsid w:val="00E008CF"/>
    <w:rsid w:val="00E03186"/>
    <w:rsid w:val="00E07960"/>
    <w:rsid w:val="00E10238"/>
    <w:rsid w:val="00E114C6"/>
    <w:rsid w:val="00E14B15"/>
    <w:rsid w:val="00E14EF2"/>
    <w:rsid w:val="00E170BF"/>
    <w:rsid w:val="00E2110D"/>
    <w:rsid w:val="00E213AA"/>
    <w:rsid w:val="00E241DF"/>
    <w:rsid w:val="00E25CEA"/>
    <w:rsid w:val="00E33D43"/>
    <w:rsid w:val="00E33DF2"/>
    <w:rsid w:val="00E35F24"/>
    <w:rsid w:val="00E36E4F"/>
    <w:rsid w:val="00E41B74"/>
    <w:rsid w:val="00E435EF"/>
    <w:rsid w:val="00E45AC4"/>
    <w:rsid w:val="00E471FC"/>
    <w:rsid w:val="00E475F8"/>
    <w:rsid w:val="00E505BD"/>
    <w:rsid w:val="00E516BC"/>
    <w:rsid w:val="00E51926"/>
    <w:rsid w:val="00E555E8"/>
    <w:rsid w:val="00E57FE3"/>
    <w:rsid w:val="00E6371E"/>
    <w:rsid w:val="00E66281"/>
    <w:rsid w:val="00E67378"/>
    <w:rsid w:val="00E768FC"/>
    <w:rsid w:val="00E7691D"/>
    <w:rsid w:val="00E80E8D"/>
    <w:rsid w:val="00E8259C"/>
    <w:rsid w:val="00E827B2"/>
    <w:rsid w:val="00E82ACE"/>
    <w:rsid w:val="00E869E2"/>
    <w:rsid w:val="00E9096A"/>
    <w:rsid w:val="00E90AC7"/>
    <w:rsid w:val="00E9310D"/>
    <w:rsid w:val="00E9465B"/>
    <w:rsid w:val="00E96E50"/>
    <w:rsid w:val="00EA02C4"/>
    <w:rsid w:val="00EA35A7"/>
    <w:rsid w:val="00EA38DB"/>
    <w:rsid w:val="00EA499A"/>
    <w:rsid w:val="00EA5BC2"/>
    <w:rsid w:val="00EA5DAF"/>
    <w:rsid w:val="00EB121F"/>
    <w:rsid w:val="00EB474A"/>
    <w:rsid w:val="00EB63B3"/>
    <w:rsid w:val="00EB6B61"/>
    <w:rsid w:val="00EB7C58"/>
    <w:rsid w:val="00EC072F"/>
    <w:rsid w:val="00EC0ADC"/>
    <w:rsid w:val="00EC3704"/>
    <w:rsid w:val="00EC46DB"/>
    <w:rsid w:val="00EC48B2"/>
    <w:rsid w:val="00EC598E"/>
    <w:rsid w:val="00ED01BE"/>
    <w:rsid w:val="00ED6079"/>
    <w:rsid w:val="00ED692B"/>
    <w:rsid w:val="00EE0D91"/>
    <w:rsid w:val="00EE2561"/>
    <w:rsid w:val="00EE2944"/>
    <w:rsid w:val="00EE30C8"/>
    <w:rsid w:val="00EE5D56"/>
    <w:rsid w:val="00EE7A7A"/>
    <w:rsid w:val="00EF079F"/>
    <w:rsid w:val="00EF0851"/>
    <w:rsid w:val="00EF2F0D"/>
    <w:rsid w:val="00EF30CD"/>
    <w:rsid w:val="00EF5DC7"/>
    <w:rsid w:val="00EF7F2D"/>
    <w:rsid w:val="00F0669D"/>
    <w:rsid w:val="00F10667"/>
    <w:rsid w:val="00F110B3"/>
    <w:rsid w:val="00F12616"/>
    <w:rsid w:val="00F1300C"/>
    <w:rsid w:val="00F2087C"/>
    <w:rsid w:val="00F20D21"/>
    <w:rsid w:val="00F227C7"/>
    <w:rsid w:val="00F234C6"/>
    <w:rsid w:val="00F23A96"/>
    <w:rsid w:val="00F269EE"/>
    <w:rsid w:val="00F33A1C"/>
    <w:rsid w:val="00F34FF7"/>
    <w:rsid w:val="00F35FA5"/>
    <w:rsid w:val="00F3668B"/>
    <w:rsid w:val="00F36D47"/>
    <w:rsid w:val="00F421D6"/>
    <w:rsid w:val="00F429BD"/>
    <w:rsid w:val="00F4320F"/>
    <w:rsid w:val="00F45D3A"/>
    <w:rsid w:val="00F47D3B"/>
    <w:rsid w:val="00F5500B"/>
    <w:rsid w:val="00F578D2"/>
    <w:rsid w:val="00F579F4"/>
    <w:rsid w:val="00F61522"/>
    <w:rsid w:val="00F62754"/>
    <w:rsid w:val="00F63D23"/>
    <w:rsid w:val="00F65320"/>
    <w:rsid w:val="00F7162A"/>
    <w:rsid w:val="00F737CB"/>
    <w:rsid w:val="00F75213"/>
    <w:rsid w:val="00F82535"/>
    <w:rsid w:val="00F838FE"/>
    <w:rsid w:val="00F84A2D"/>
    <w:rsid w:val="00F850CA"/>
    <w:rsid w:val="00F86A8B"/>
    <w:rsid w:val="00F86D38"/>
    <w:rsid w:val="00F90167"/>
    <w:rsid w:val="00F9042C"/>
    <w:rsid w:val="00F91559"/>
    <w:rsid w:val="00F93CAD"/>
    <w:rsid w:val="00F9467F"/>
    <w:rsid w:val="00F94D1C"/>
    <w:rsid w:val="00F97187"/>
    <w:rsid w:val="00F9799D"/>
    <w:rsid w:val="00F97A3F"/>
    <w:rsid w:val="00FA2111"/>
    <w:rsid w:val="00FA3FC4"/>
    <w:rsid w:val="00FA4D81"/>
    <w:rsid w:val="00FA678F"/>
    <w:rsid w:val="00FB03A6"/>
    <w:rsid w:val="00FB05C9"/>
    <w:rsid w:val="00FB0699"/>
    <w:rsid w:val="00FB1FB2"/>
    <w:rsid w:val="00FB282B"/>
    <w:rsid w:val="00FB38A8"/>
    <w:rsid w:val="00FB3ADC"/>
    <w:rsid w:val="00FB43C8"/>
    <w:rsid w:val="00FB590A"/>
    <w:rsid w:val="00FB5E94"/>
    <w:rsid w:val="00FC6080"/>
    <w:rsid w:val="00FC664D"/>
    <w:rsid w:val="00FD00B3"/>
    <w:rsid w:val="00FD34D8"/>
    <w:rsid w:val="00FD517A"/>
    <w:rsid w:val="00FD627C"/>
    <w:rsid w:val="00FD6EC6"/>
    <w:rsid w:val="00FE0FEF"/>
    <w:rsid w:val="00FE24FD"/>
    <w:rsid w:val="00FE4374"/>
    <w:rsid w:val="00FE5271"/>
    <w:rsid w:val="00FE60C8"/>
    <w:rsid w:val="00FF3B85"/>
    <w:rsid w:val="00FF4089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FC4C6"/>
  <w15:docId w15:val="{F6E0106C-0EBA-474D-B4BE-6C2A7A6F6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NSimSun" w:hAnsi="Times New Roman" w:cs="Times New Roman"/>
        <w:color w:val="000000" w:themeColor="text1"/>
        <w:kern w:val="3"/>
        <w:sz w:val="22"/>
        <w:szCs w:val="22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Heading"/>
    <w:next w:val="Textbody"/>
    <w:link w:val="Nagwek1Znak"/>
    <w:uiPriority w:val="9"/>
    <w:qFormat/>
    <w:pPr>
      <w:outlineLvl w:val="0"/>
    </w:pPr>
    <w:rPr>
      <w:rFonts w:ascii="Liberation Serif" w:eastAsia="NSimSun" w:hAnsi="Liberation Serif"/>
      <w:b/>
      <w:bCs/>
      <w:sz w:val="48"/>
      <w:szCs w:val="48"/>
    </w:rPr>
  </w:style>
  <w:style w:type="paragraph" w:styleId="Nagwek2">
    <w:name w:val="heading 2"/>
    <w:basedOn w:val="Heading"/>
    <w:next w:val="Textbody"/>
    <w:link w:val="Nagwek2Znak"/>
    <w:uiPriority w:val="9"/>
    <w:semiHidden/>
    <w:unhideWhenUsed/>
    <w:qFormat/>
    <w:p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5DD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5DD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5DD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5DD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5DD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5DD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5DD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HeaderandFooter"/>
    <w:link w:val="NagwekZnak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paragraph" w:styleId="Akapitzlist">
    <w:name w:val="List Paragraph"/>
    <w:basedOn w:val="Normalny"/>
    <w:uiPriority w:val="34"/>
    <w:qFormat/>
    <w:rsid w:val="000D5AC0"/>
    <w:pPr>
      <w:ind w:left="720"/>
      <w:contextualSpacing/>
    </w:pPr>
    <w:rPr>
      <w:rFonts w:cs="Mangal"/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0D5AC0"/>
    <w:rPr>
      <w:b/>
      <w:bCs/>
      <w:sz w:val="48"/>
      <w:szCs w:val="48"/>
    </w:rPr>
  </w:style>
  <w:style w:type="paragraph" w:styleId="Stopka">
    <w:name w:val="footer"/>
    <w:basedOn w:val="Normalny"/>
    <w:link w:val="StopkaZnak"/>
    <w:uiPriority w:val="99"/>
    <w:unhideWhenUsed/>
    <w:rsid w:val="00FD6EC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D6EC6"/>
    <w:rPr>
      <w:rFonts w:cs="Mangal"/>
      <w:szCs w:val="21"/>
    </w:rPr>
  </w:style>
  <w:style w:type="character" w:styleId="Pogrubienie">
    <w:name w:val="Strong"/>
    <w:basedOn w:val="Domylnaczcionkaakapitu"/>
    <w:uiPriority w:val="22"/>
    <w:qFormat/>
    <w:rsid w:val="001070AA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5F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5F9D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5F9D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5F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5F9D"/>
    <w:rPr>
      <w:rFonts w:cs="Mangal"/>
      <w:b/>
      <w:bCs/>
      <w:sz w:val="20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369D"/>
    <w:rPr>
      <w:b/>
      <w:bCs/>
      <w:sz w:val="36"/>
      <w:szCs w:val="36"/>
    </w:rPr>
  </w:style>
  <w:style w:type="character" w:customStyle="1" w:styleId="NagwekZnak">
    <w:name w:val="Nagłówek Znak"/>
    <w:basedOn w:val="Domylnaczcionkaakapitu"/>
    <w:link w:val="Nagwek"/>
    <w:rsid w:val="0030369D"/>
  </w:style>
  <w:style w:type="paragraph" w:styleId="NormalnyWeb">
    <w:name w:val="Normal (Web)"/>
    <w:basedOn w:val="Normalny"/>
    <w:uiPriority w:val="99"/>
    <w:semiHidden/>
    <w:unhideWhenUsed/>
    <w:rsid w:val="007124A8"/>
    <w:rPr>
      <w:rFonts w:cs="Mangal"/>
      <w:sz w:val="24"/>
      <w:szCs w:val="21"/>
    </w:rPr>
  </w:style>
  <w:style w:type="character" w:styleId="Hipercze">
    <w:name w:val="Hyperlink"/>
    <w:basedOn w:val="Domylnaczcionkaakapitu"/>
    <w:uiPriority w:val="99"/>
    <w:unhideWhenUsed/>
    <w:rsid w:val="00C34C2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4C2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5DDD"/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5DDD"/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 w:bidi="ar-SA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5DDD"/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 w:bidi="ar-SA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5DDD"/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 w:bidi="ar-SA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5DDD"/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 w:bidi="ar-SA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5DDD"/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 w:bidi="ar-SA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5DDD"/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 w:bidi="ar-SA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4F5DDD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F5DDD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 w:bidi="ar-SA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5DD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F5DDD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4F5DD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F5DDD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F5DD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5D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5DDD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 w:bidi="ar-SA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4F5DD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53014-4734-4E43-A151-216B23479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2401</Words>
  <Characters>14411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Sajko</dc:creator>
  <cp:keywords/>
  <dc:description/>
  <cp:lastModifiedBy>Karolina Dziekońska</cp:lastModifiedBy>
  <cp:revision>16</cp:revision>
  <cp:lastPrinted>2025-11-06T11:57:00Z</cp:lastPrinted>
  <dcterms:created xsi:type="dcterms:W3CDTF">2025-11-10T11:02:00Z</dcterms:created>
  <dcterms:modified xsi:type="dcterms:W3CDTF">2026-07-27T11:24:00Z</dcterms:modified>
</cp:coreProperties>
</file>